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A65C22" w:sz="10" w:space="8"/>
        </w:pBdr>
        <w:spacing w:after="0"/>
      </w:pPr>
      <w:r>
        <w:rPr>
          <w:rFonts w:ascii="Calibri" w:cs="Calibri" w:eastAsia="Calibri" w:hAnsi="Calibri"/>
          <w:b/>
          <w:bCs/>
          <w:color w:val="176B7A"/>
          <w:sz w:val="17"/>
          <w:szCs w:val="17"/>
        </w:rPr>
        <w:t xml:space="preserve">THE OPEN SHELF</w:t>
      </w:r>
      <w:r>
        <w:rPr>
          <w:rFonts w:ascii="Calibri" w:cs="Calibri" w:eastAsia="Calibri" w:hAnsi="Calibri"/>
          <w:color w:val="55606B"/>
          <w:sz w:val="17"/>
          <w:szCs w:val="17"/>
        </w:rPr>
        <w:t xml:space="preserve">   ·   The CARES Collaborative   ·   free to adapt and use</w:t>
      </w:r>
    </w:p>
    <w:p>
      <w:pPr>
        <w:spacing w:after="60" w:before="340"/>
      </w:pPr>
      <w:r>
        <w:rPr>
          <w:rFonts w:ascii="Calibri" w:cs="Calibri" w:eastAsia="Calibri" w:hAnsi="Calibri"/>
          <w:b/>
          <w:bCs/>
          <w:caps/>
          <w:color w:val="A65C22"/>
          <w:sz w:val="16"/>
          <w:szCs w:val="16"/>
        </w:rPr>
        <w:t xml:space="preserve">TEMPLATE</w:t>
      </w:r>
    </w:p>
    <w:p>
      <w:pPr>
        <w:spacing w:after="220"/>
      </w:pPr>
      <w:r>
        <w:rPr>
          <w:rFonts w:ascii="Calibri" w:cs="Calibri" w:eastAsia="Calibri" w:hAnsi="Calibri"/>
          <w:b/>
          <w:bCs/>
          <w:color w:val="0F3D4C"/>
          <w:sz w:val="40"/>
          <w:szCs w:val="40"/>
        </w:rPr>
        <w:t xml:space="preserve">The Accountability and Ownership Map</w:t>
      </w:r>
    </w:p>
    <w:tbl>
      <w:tblPr>
        <w:tblW w:type="dxa" w:w="9360"/>
        <w:tblBorders>
          <w:top w:val="single" w:color="C9D6D9" w:sz="4"/>
          <w:left w:val="single" w:color="C9D6D9" w:sz="4"/>
          <w:bottom w:val="single" w:color="C9D6D9" w:sz="4"/>
          <w:right w:val="single" w:color="C9D6D9" w:sz="4"/>
          <w:insideH w:val="single" w:color="DFE7E8" w:sz="4"/>
          <w:insideV w:val="single" w:color="DFE7E8" w:sz="4"/>
        </w:tblBorders>
      </w:tblPr>
      <w:tblGrid>
        <w:gridCol w:w="1900"/>
        <w:gridCol w:w="7460"/>
      </w:tblGrid>
      <w:tr>
        <w:tc>
          <w:tcPr>
            <w:tcW w:type="dxa" w:w="190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F3D4C"/>
                <w:sz w:val="17"/>
                <w:szCs w:val="17"/>
              </w:rPr>
              <w:t xml:space="preserve">What this is</w:t>
            </w:r>
          </w:p>
        </w:tc>
        <w:tc>
          <w:tcPr>
            <w:tcW w:type="dxa" w:w="74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Every function with a named owner — a person, not a department — including the functions nobody currently owns.</w:t>
            </w:r>
          </w:p>
        </w:tc>
      </w:tr>
      <w:tr>
        <w:tc>
          <w:tcPr>
            <w:tcW w:type="dxa" w:w="190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F3D4C"/>
                <w:sz w:val="17"/>
                <w:szCs w:val="17"/>
              </w:rPr>
              <w:t xml:space="preserve">It assumes</w:t>
            </w:r>
          </w:p>
        </w:tc>
        <w:tc>
          <w:tcPr>
            <w:tcW w:type="dxa" w:w="74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Nothing. This is the cheapest high-value document most organizations do not have.</w:t>
            </w:r>
          </w:p>
        </w:tc>
      </w:tr>
      <w:tr>
        <w:tc>
          <w:tcPr>
            <w:tcW w:type="dxa" w:w="190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F3D4C"/>
                <w:sz w:val="17"/>
                <w:szCs w:val="17"/>
              </w:rPr>
              <w:t xml:space="preserve">Change before use</w:t>
            </w:r>
          </w:p>
        </w:tc>
        <w:tc>
          <w:tcPr>
            <w:tcW w:type="dxa" w:w="74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The function list, to match how your organization actually divides work.</w:t>
            </w:r>
          </w:p>
        </w:tc>
      </w:tr>
    </w:tbl>
    <w:p>
      <w:pPr>
        <w:spacing w:after="200" w:before="0" w:line="276"/>
      </w:pP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The question this answers</w:t>
      </w:r>
    </w:p>
    <w:p>
      <w:pPr>
        <w:spacing w:after="140" w:before="0" w:line="276"/>
      </w:pPr>
      <w:r>
        <w:rPr>
          <w:rFonts w:ascii="Calibri" w:cs="Calibri" w:eastAsia="Calibri" w:hAnsi="Calibri"/>
          <w:sz w:val="21"/>
          <w:szCs w:val="21"/>
        </w:rPr>
        <w:t xml:space="preserve">In most small organizations, the answer to "who owns X?" is "ask the executive director" — which means the executive director is the index to the organization, and the index leaves when they do. The map replaces the index with a page. It takes about ninety minutes to draft in a leadership meeting, and the arguments it starts are the point: every argument is a function whose ownership was genuinely unclear.</w:t>
      </w: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The rules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 person, not a department.</w:t>
      </w:r>
      <w:r>
        <w:rPr>
          <w:rFonts w:ascii="Calibri" w:cs="Calibri" w:eastAsia="Calibri" w:hAnsi="Calibri"/>
          <w:sz w:val="21"/>
          <w:szCs w:val="21"/>
        </w:rPr>
        <w:t xml:space="preserve"> "Finance" owning payroll means nobody owns payroll. Write the name.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One owner per function.</w:t>
      </w:r>
      <w:r>
        <w:rPr>
          <w:rFonts w:ascii="Calibri" w:cs="Calibri" w:eastAsia="Calibri" w:hAnsi="Calibri"/>
          <w:sz w:val="21"/>
          <w:szCs w:val="21"/>
        </w:rPr>
        <w:t xml:space="preserve"> Two names is zero names. Others contribute; one is accountable.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The owner need not do the work.</w:t>
      </w:r>
      <w:r>
        <w:rPr>
          <w:rFonts w:ascii="Calibri" w:cs="Calibri" w:eastAsia="Calibri" w:hAnsi="Calibri"/>
          <w:sz w:val="21"/>
          <w:szCs w:val="21"/>
        </w:rPr>
        <w:t xml:space="preserve"> The owner is who the organization asks, and who notices when it is not happening.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Unowned is an answer.</w:t>
      </w:r>
      <w:r>
        <w:rPr>
          <w:rFonts w:ascii="Calibri" w:cs="Calibri" w:eastAsia="Calibri" w:hAnsi="Calibri"/>
          <w:sz w:val="21"/>
          <w:szCs w:val="21"/>
        </w:rPr>
        <w:t xml:space="preserve"> A row with no defensible name goes on the map as UNOWNED, in capitals. The map’s first job is making those visible.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 backup for the critical rows.</w:t>
      </w:r>
      <w:r>
        <w:rPr>
          <w:rFonts w:ascii="Calibri" w:cs="Calibri" w:eastAsia="Calibri" w:hAnsi="Calibri"/>
          <w:sz w:val="21"/>
          <w:szCs w:val="21"/>
        </w:rPr>
        <w:t xml:space="preserve"> Where a function cannot pause for two weeks, name who steps in.</w:t>
      </w: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The map</w:t>
      </w:r>
    </w:p>
    <w:p>
      <w:pPr>
        <w:spacing w:after="140" w:before="0" w:line="276"/>
      </w:pPr>
      <w:r>
        <w:rPr>
          <w:rFonts w:ascii="Calibri" w:cs="Calibri" w:eastAsia="Calibri" w:hAnsi="Calibri"/>
          <w:sz w:val="21"/>
          <w:szCs w:val="21"/>
        </w:rPr>
        <w:t xml:space="preserve">Rows below are a starting catalog for a human-services organization — cut and add to match yours.</w:t>
      </w:r>
    </w:p>
    <w:tbl>
      <w:tblPr>
        <w:tblW w:type="dxa" w:w="9360"/>
        <w:tblBorders>
          <w:top w:val="single" w:color="C9D6D9" w:sz="6"/>
          <w:left w:val="single" w:color="C9D6D9" w:sz="6"/>
          <w:bottom w:val="single" w:color="C9D6D9" w:sz="6"/>
          <w:right w:val="single" w:color="C9D6D9" w:sz="6"/>
          <w:insideH w:val="single" w:color="C9D6D9" w:sz="4"/>
          <w:insideV w:val="single" w:color="C9D6D9" w:sz="4"/>
        </w:tblBorders>
      </w:tblPr>
      <w:tblGrid>
        <w:gridCol w:w="3931"/>
        <w:gridCol w:w="1685"/>
        <w:gridCol w:w="1498"/>
        <w:gridCol w:w="2246"/>
      </w:tblGrid>
      <w:tr>
        <w:trPr>
          <w:tblHeader/>
        </w:trPr>
        <w:tc>
          <w:tcPr>
            <w:tcW w:type="dxa" w:w="3931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Function</w:t>
            </w:r>
          </w:p>
        </w:tc>
        <w:tc>
          <w:tcPr>
            <w:tcW w:type="dxa" w:w="1685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Owner (person)</w:t>
            </w:r>
          </w:p>
        </w:tc>
        <w:tc>
          <w:tcPr>
            <w:tcW w:type="dxa" w:w="1498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Backup</w:t>
            </w:r>
          </w:p>
        </w:tc>
        <w:tc>
          <w:tcPr>
            <w:tcW w:type="dxa" w:w="2246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Notes / where the playbook lives</w:t>
            </w:r>
          </w:p>
        </w:tc>
      </w:tr>
      <w:tr>
        <w:tc>
          <w:tcPr>
            <w:tcW w:type="dxa" w:w="393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Board &amp; governance calendar; minutes; policy cycle</w:t>
            </w:r>
          </w:p>
        </w:tc>
        <w:tc>
          <w:tcPr>
            <w:tcW w:type="dxa" w:w="168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49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2246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  <w:tr>
        <w:tc>
          <w:tcPr>
            <w:tcW w:type="dxa" w:w="3931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Conflict-of-interest cycle (the reviewer)</w:t>
            </w:r>
          </w:p>
        </w:tc>
        <w:tc>
          <w:tcPr>
            <w:tcW w:type="dxa" w:w="1685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498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2246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  <w:tr>
        <w:tc>
          <w:tcPr>
            <w:tcW w:type="dxa" w:w="393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Budget build &amp; monitoring; board financial pack</w:t>
            </w:r>
          </w:p>
        </w:tc>
        <w:tc>
          <w:tcPr>
            <w:tcW w:type="dxa" w:w="168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49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2246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  <w:tr>
        <w:tc>
          <w:tcPr>
            <w:tcW w:type="dxa" w:w="3931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Cost allocation — methodology &amp; worksheets</w:t>
            </w:r>
          </w:p>
        </w:tc>
        <w:tc>
          <w:tcPr>
            <w:tcW w:type="dxa" w:w="1685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498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2246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  <w:tr>
        <w:tc>
          <w:tcPr>
            <w:tcW w:type="dxa" w:w="393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Payroll &amp; payroll-tax filings</w:t>
            </w:r>
          </w:p>
        </w:tc>
        <w:tc>
          <w:tcPr>
            <w:tcW w:type="dxa" w:w="168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49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2246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  <w:tr>
        <w:tc>
          <w:tcPr>
            <w:tcW w:type="dxa" w:w="3931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Accounts payable &amp; procurement thresholds</w:t>
            </w:r>
          </w:p>
        </w:tc>
        <w:tc>
          <w:tcPr>
            <w:tcW w:type="dxa" w:w="1685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498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2246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  <w:tr>
        <w:tc>
          <w:tcPr>
            <w:tcW w:type="dxa" w:w="393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Grant/contract reporting calendar &amp; drawdowns</w:t>
            </w:r>
          </w:p>
        </w:tc>
        <w:tc>
          <w:tcPr>
            <w:tcW w:type="dxa" w:w="168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49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2246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  <w:tr>
        <w:tc>
          <w:tcPr>
            <w:tcW w:type="dxa" w:w="3931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Audit coordination; the readiness binder</w:t>
            </w:r>
          </w:p>
        </w:tc>
        <w:tc>
          <w:tcPr>
            <w:tcW w:type="dxa" w:w="1685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498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2246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  <w:tr>
        <w:tc>
          <w:tcPr>
            <w:tcW w:type="dxa" w:w="393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Licensing relationship &amp; reporting</w:t>
            </w:r>
          </w:p>
        </w:tc>
        <w:tc>
          <w:tcPr>
            <w:tcW w:type="dxa" w:w="168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49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2246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  <w:tr>
        <w:tc>
          <w:tcPr>
            <w:tcW w:type="dxa" w:w="3931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Accreditation cycle</w:t>
            </w:r>
          </w:p>
        </w:tc>
        <w:tc>
          <w:tcPr>
            <w:tcW w:type="dxa" w:w="1685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498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2246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  <w:tr>
        <w:tc>
          <w:tcPr>
            <w:tcW w:type="dxa" w:w="393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Requirement-to-evidence map; policy library versions</w:t>
            </w:r>
          </w:p>
        </w:tc>
        <w:tc>
          <w:tcPr>
            <w:tcW w:type="dxa" w:w="168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49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2246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  <w:tr>
        <w:tc>
          <w:tcPr>
            <w:tcW w:type="dxa" w:w="3931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Quality-assurance sampling; corrective-action log</w:t>
            </w:r>
          </w:p>
        </w:tc>
        <w:tc>
          <w:tcPr>
            <w:tcW w:type="dxa" w:w="1685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498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2246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  <w:tr>
        <w:tc>
          <w:tcPr>
            <w:tcW w:type="dxa" w:w="393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Incident routing &amp; regulatory notifications</w:t>
            </w:r>
          </w:p>
        </w:tc>
        <w:tc>
          <w:tcPr>
            <w:tcW w:type="dxa" w:w="168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49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2246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  <w:tr>
        <w:tc>
          <w:tcPr>
            <w:tcW w:type="dxa" w:w="3931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Hiring &amp; the onboarding gate (the gatekeeper)</w:t>
            </w:r>
          </w:p>
        </w:tc>
        <w:tc>
          <w:tcPr>
            <w:tcW w:type="dxa" w:w="1685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498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2246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  <w:tr>
        <w:tc>
          <w:tcPr>
            <w:tcW w:type="dxa" w:w="393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Training matrix &amp; completion evidence</w:t>
            </w:r>
          </w:p>
        </w:tc>
        <w:tc>
          <w:tcPr>
            <w:tcW w:type="dxa" w:w="168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49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2246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  <w:tr>
        <w:tc>
          <w:tcPr>
            <w:tcW w:type="dxa" w:w="3931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Separations &amp; access termination</w:t>
            </w:r>
          </w:p>
        </w:tc>
        <w:tc>
          <w:tcPr>
            <w:tcW w:type="dxa" w:w="1685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498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2246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  <w:tr>
        <w:tc>
          <w:tcPr>
            <w:tcW w:type="dxa" w:w="393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Systems &amp; vendor inventory; access reviews</w:t>
            </w:r>
          </w:p>
        </w:tc>
        <w:tc>
          <w:tcPr>
            <w:tcW w:type="dxa" w:w="168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49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2246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  <w:tr>
        <w:tc>
          <w:tcPr>
            <w:tcW w:type="dxa" w:w="3931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Backups &amp; the annual restore test</w:t>
            </w:r>
          </w:p>
        </w:tc>
        <w:tc>
          <w:tcPr>
            <w:tcW w:type="dxa" w:w="1685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498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2246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  <w:tr>
        <w:tc>
          <w:tcPr>
            <w:tcW w:type="dxa" w:w="393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Incident response lead (technology)</w:t>
            </w:r>
          </w:p>
        </w:tc>
        <w:tc>
          <w:tcPr>
            <w:tcW w:type="dxa" w:w="168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49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2246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  <w:tr>
        <w:tc>
          <w:tcPr>
            <w:tcW w:type="dxa" w:w="3931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Insurance renewal &amp; the underwriting file</w:t>
            </w:r>
          </w:p>
        </w:tc>
        <w:tc>
          <w:tcPr>
            <w:tcW w:type="dxa" w:w="1685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498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2246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  <w:tr>
        <w:tc>
          <w:tcPr>
            <w:tcW w:type="dxa" w:w="393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Certificates of insurance &amp; the requirement map</w:t>
            </w:r>
          </w:p>
        </w:tc>
        <w:tc>
          <w:tcPr>
            <w:tcW w:type="dxa" w:w="168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49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2246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  <w:tr>
        <w:tc>
          <w:tcPr>
            <w:tcW w:type="dxa" w:w="3931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Facilities, keys &amp; physical safety</w:t>
            </w:r>
          </w:p>
        </w:tc>
        <w:tc>
          <w:tcPr>
            <w:tcW w:type="dxa" w:w="1685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498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2246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  <w:tr>
        <w:tc>
          <w:tcPr>
            <w:tcW w:type="dxa" w:w="393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Outcomes indicators &amp; report reconciliation</w:t>
            </w:r>
          </w:p>
        </w:tc>
        <w:tc>
          <w:tcPr>
            <w:tcW w:type="dxa" w:w="168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49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2246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  <w:tr>
        <w:tc>
          <w:tcPr>
            <w:tcW w:type="dxa" w:w="3931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Website, communications &amp; the crisis protocol</w:t>
            </w:r>
          </w:p>
        </w:tc>
        <w:tc>
          <w:tcPr>
            <w:tcW w:type="dxa" w:w="1685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498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2246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  <w:tr>
        <w:tc>
          <w:tcPr>
            <w:tcW w:type="dxa" w:w="393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Records retention &amp; destruction schedule</w:t>
            </w:r>
          </w:p>
        </w:tc>
        <w:tc>
          <w:tcPr>
            <w:tcW w:type="dxa" w:w="168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49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2246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</w:tbl>
    <w:p>
      <w:pPr>
        <w:spacing w:after="160" w:before="0" w:line="276"/>
      </w:pP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Operating it</w:t>
      </w:r>
    </w:p>
    <w:p>
      <w:pPr>
        <w:pStyle w:val="ListParagraph"/>
        <w:numPr>
          <w:ilvl w:val="0"/>
          <w:numId w:val="3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Review twice a year and at every separation — the separation checklist requires reassigning the departing person’s rows by name.</w:t>
      </w:r>
    </w:p>
    <w:p>
      <w:pPr>
        <w:pStyle w:val="ListParagraph"/>
        <w:numPr>
          <w:ilvl w:val="0"/>
          <w:numId w:val="3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Count the UNOWNED rows and the rows where one person owns more than [six] critical functions. Both numbers belong in the annual risk conversation: the first is a gap, the second is your key-person dependency, measured.</w:t>
      </w:r>
    </w:p>
    <w:p>
      <w:pPr>
        <w:pStyle w:val="ListParagraph"/>
        <w:numPr>
          <w:ilvl w:val="0"/>
          <w:numId w:val="3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The map is the index for everything else on the Open Shelf: each row’s "notes" column points at the playbook, calendar, or file that function runs on.</w:t>
      </w:r>
    </w:p>
    <w:p>
      <w:pPr>
        <w:pBdr>
          <w:top w:val="single" w:color="C9D6D9" w:sz="4" w:space="8"/>
        </w:pBdr>
        <w:spacing w:after="0" w:before="400"/>
      </w:pPr>
      <w:r>
        <w:rPr>
          <w:rFonts w:ascii="Calibri" w:cs="Calibri" w:eastAsia="Calibri" w:hAnsi="Calibri"/>
          <w:i/>
          <w:iCs/>
          <w:color w:val="55606B"/>
          <w:sz w:val="16"/>
          <w:szCs w:val="16"/>
        </w:rPr>
        <w:t xml:space="preserve">Published by The CARES Collaborative, a program of Knotts Family Services, Inc., for adaptation and use by charitable and community-serving organizations. No registration, no fee, no attribution required. This document is a working template, not legal, tax, or accounting advice — the requirements that apply to your organization are confirmed by your own counsel, auditor, and licensing authority. Version 1.0 · August 2026 · carescollaborative.org/open-shelf</w:t>
      </w:r>
    </w:p>
    <w:sectPr>
      <w:headerReference w:type="default" r:id="rId7"/>
      <w:footerReference w:type="default" r:id="rId8"/>
      <w:pgSz w:w="12240" w:h="15840" w:orient="portrait"/>
      <w:pgMar w:top="1000" w:right="1440" w:bottom="10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5606B"/>
        <w:sz w:val="14"/>
        <w:szCs w:val="14"/>
      </w:rPr>
      <w:t xml:space="preserve">The Accountability and Ownership Map  ·  The Open Shelf  ·  page </w:t>
    </w:r>
    <w:r>
      <w:rPr>
        <w:rFonts w:ascii="Calibri" w:cs="Calibri" w:eastAsia="Calibri" w:hAnsi="Calibri"/>
        <w:color w:val="55606B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Calibri" w:cs="Calibri" w:eastAsia="Calibri" w:hAnsi="Calibri"/>
        <w:sz w:val="2"/>
        <w:szCs w:val="2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  <w:rPr>
        <w:color w:val="176B7A"/>
      </w:rPr>
    </w:lvl>
    <w:lvl w:ilvl="1" w15:tentative="1">
      <w:start w:val="1"/>
      <w:numFmt w:val="bullet"/>
      <w:lvlText w:val="◦"/>
      <w:lvlJc w:val="left"/>
      <w:pPr>
        <w:ind w:left="720" w:hanging="200"/>
      </w:pPr>
      <w:rPr>
        <w:color w:val="176B7A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40"/>
      </w:pPr>
      <w:rPr>
        <w:b/>
        <w:bCs/>
        <w:color w:val="176B7A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3"/>
        <w:sz w:val="21"/>
        <w:szCs w:val="21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Accountability and Ownership Map — The Open Shelf</dc:title>
  <dc:creator>Knotts Family Services, Inc.</dc:creator>
  <cp:lastModifiedBy>Un-named</cp:lastModifiedBy>
  <cp:revision>1</cp:revision>
  <dcterms:created xsi:type="dcterms:W3CDTF">2026-09-01T20:41:23.068Z</dcterms:created>
  <dcterms:modified xsi:type="dcterms:W3CDTF">2026-09-01T20:41:23.068Z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