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A65C22" w:sz="10" w:space="8"/>
        </w:pBdr>
        <w:spacing w:after="0"/>
      </w:pPr>
      <w:r>
        <w:rPr>
          <w:rFonts w:ascii="Calibri" w:cs="Calibri" w:eastAsia="Calibri" w:hAnsi="Calibri"/>
          <w:b/>
          <w:bCs/>
          <w:color w:val="176B7A"/>
          <w:sz w:val="17"/>
          <w:szCs w:val="17"/>
        </w:rPr>
        <w:t xml:space="preserve">THE OPEN SHELF</w:t>
      </w:r>
      <w:r>
        <w:rPr>
          <w:rFonts w:ascii="Calibri" w:cs="Calibri" w:eastAsia="Calibri" w:hAnsi="Calibri"/>
          <w:color w:val="55606B"/>
          <w:sz w:val="17"/>
          <w:szCs w:val="17"/>
        </w:rPr>
        <w:t xml:space="preserve">   ·   The CARES Collaborative   ·   free to adapt and use</w:t>
      </w:r>
    </w:p>
    <w:p>
      <w:pPr>
        <w:spacing w:after="60" w:before="340"/>
      </w:pPr>
      <w:r>
        <w:rPr>
          <w:rFonts w:ascii="Calibri" w:cs="Calibri" w:eastAsia="Calibri" w:hAnsi="Calibri"/>
          <w:b/>
          <w:bCs/>
          <w:caps/>
          <w:color w:val="A65C22"/>
          <w:sz w:val="16"/>
          <w:szCs w:val="16"/>
        </w:rPr>
        <w:t xml:space="preserve">CHECKLIST</w:t>
      </w:r>
    </w:p>
    <w:p>
      <w:pPr>
        <w:spacing w:after="220"/>
      </w:pPr>
      <w:r>
        <w:rPr>
          <w:rFonts w:ascii="Calibri" w:cs="Calibri" w:eastAsia="Calibri" w:hAnsi="Calibri"/>
          <w:b/>
          <w:bCs/>
          <w:color w:val="0F3D4C"/>
          <w:sz w:val="40"/>
          <w:szCs w:val="40"/>
        </w:rPr>
        <w:t xml:space="preserve">Audit-Readiness Binder Index</w:t>
      </w:r>
    </w:p>
    <w:tbl>
      <w:tblPr>
        <w:tblW w:type="dxa" w:w="9360"/>
        <w:tblBorders>
          <w:top w:val="single" w:color="C9D6D9" w:sz="4"/>
          <w:left w:val="single" w:color="C9D6D9" w:sz="4"/>
          <w:bottom w:val="single" w:color="C9D6D9" w:sz="4"/>
          <w:right w:val="single" w:color="C9D6D9" w:sz="4"/>
          <w:insideH w:val="single" w:color="DFE7E8" w:sz="4"/>
          <w:insideV w:val="single" w:color="DFE7E8" w:sz="4"/>
        </w:tblBorders>
      </w:tblPr>
      <w:tblGrid>
        <w:gridCol w:w="1900"/>
        <w:gridCol w:w="7460"/>
      </w:tblGrid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What this is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index of a continuously-maintained audit binder — what each section contains, who owns it, and how often it refreshes — so audit season is a review, not a reconstruction.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It assumes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An annual independent audit.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Change before use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Sections that do not apply, and anything your auditor asks for that is not listed.</w:t>
            </w:r>
          </w:p>
        </w:tc>
      </w:tr>
    </w:tbl>
    <w:p>
      <w:pPr>
        <w:spacing w:after="200" w:before="0" w:line="276"/>
      </w:pPr>
    </w:p>
    <w:p>
      <w:pPr>
        <w:spacing w:after="60" w:before="0" w:line="276"/>
      </w:pPr>
    </w:p>
    <w:tbl>
      <w:tblPr>
        <w:tblW w:type="dxa" w:w="9360"/>
        <w:tblBorders>
          <w:top w:val="single" w:color="E0C9B4" w:sz="4"/>
          <w:left w:val="single" w:color="A65C22" w:sz="24"/>
          <w:bottom w:val="single" w:color="E0C9B4" w:sz="4"/>
          <w:right w:val="single" w:color="E0C9B4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BF3EC" w:val="clear"/>
            <w:tcMar>
              <w:top w:type="dxa" w:w="140"/>
              <w:left w:type="dxa" w:w="200"/>
              <w:bottom w:type="dxa" w:w="140"/>
              <w:right w:type="dxa" w:w="180"/>
            </w:tcMar>
          </w:tcPr>
          <w:p>
            <w:pPr>
              <w:spacing w:after="90" w:line="276"/>
            </w:pPr>
            <w:r>
              <w:rPr>
                <w:rFonts w:ascii="Calibri" w:cs="Calibri" w:eastAsia="Calibri" w:hAnsi="Calibri"/>
                <w:b/>
                <w:bCs/>
                <w:color w:val="A65C22"/>
                <w:sz w:val="17"/>
                <w:szCs w:val="17"/>
              </w:rPr>
              <w:t xml:space="preserve">THE BINDER IS MAINTAINED IN THE SPREADSHEET</w:t>
            </w:r>
          </w:p>
          <w:p>
            <w:pPr>
              <w:spacing w:after="12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The index below is the structure. </w:t>
            </w: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The binder is the accompanying spreadsheet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— the same twelve sections with an owner, a refresh cadence, a last-refreshed date, and a completeness state, plus a second sheet that maps the auditor's request list to sections.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 request that maps to no section is the useful finding.</w:t>
            </w:r>
          </w:p>
        </w:tc>
      </w:tr>
    </w:tbl>
    <w:p>
      <w:pPr>
        <w:spacing w:after="1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idea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The difference between a two-week audit and a two-month audit is rarely the accounting. It is whether the evidence the auditor will request already exists in one indexed place, maintained through the year by named owners — or has to be assembled after the request list arrives. The binder (physical or a structured drive folder; the folder is better) is maintained continuously. Audit season then begins with a review of what is already there.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index</w:t>
      </w:r>
    </w:p>
    <w:tbl>
      <w:tblPr>
        <w:tblW w:type="dxa" w:w="9360"/>
        <w:tblBorders>
          <w:top w:val="single" w:color="C9D6D9" w:sz="6"/>
          <w:left w:val="single" w:color="C9D6D9" w:sz="6"/>
          <w:bottom w:val="single" w:color="C9D6D9" w:sz="6"/>
          <w:right w:val="single" w:color="C9D6D9" w:sz="6"/>
          <w:insideH w:val="single" w:color="C9D6D9" w:sz="4"/>
          <w:insideV w:val="single" w:color="C9D6D9" w:sz="4"/>
        </w:tblBorders>
      </w:tblPr>
      <w:tblGrid>
        <w:gridCol w:w="1685"/>
        <w:gridCol w:w="4680"/>
        <w:gridCol w:w="1310"/>
        <w:gridCol w:w="1685"/>
      </w:tblGrid>
      <w:tr>
        <w:trPr>
          <w:tblHeader/>
        </w:trPr>
        <w:tc>
          <w:tcPr>
            <w:tcW w:type="dxa" w:w="1685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Section</w:t>
            </w:r>
          </w:p>
        </w:tc>
        <w:tc>
          <w:tcPr>
            <w:tcW w:type="dxa" w:w="4680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Contents</w:t>
            </w:r>
          </w:p>
        </w:tc>
        <w:tc>
          <w:tcPr>
            <w:tcW w:type="dxa" w:w="1310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Owner</w:t>
            </w:r>
          </w:p>
        </w:tc>
        <w:tc>
          <w:tcPr>
            <w:tcW w:type="dxa" w:w="1685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Refresh</w:t>
            </w:r>
          </w:p>
        </w:tc>
      </w:tr>
      <w:tr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1. Entity</w:t>
            </w:r>
          </w:p>
        </w:tc>
        <w:tc>
          <w:tcPr>
            <w:tcW w:type="dxa" w:w="46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Articles, bylaws as amended, IRS determination letter, state exemption, charity registration and current renewal, board roster with terms</w:t>
            </w:r>
          </w:p>
        </w:tc>
        <w:tc>
          <w:tcPr>
            <w:tcW w:type="dxa" w:w="131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[Secretary]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On change; verified annually</w:t>
            </w:r>
          </w:p>
        </w:tc>
      </w:tr>
      <w:tr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2. Governance</w:t>
            </w:r>
          </w:p>
        </w:tc>
        <w:tc>
          <w:tcPr>
            <w:tcW w:type="dxa" w:w="468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Adopted minutes for the year, committee reports, adopted policies with adoption dates, the COI cycle report and reconciliation sheet</w:t>
            </w:r>
          </w:p>
        </w:tc>
        <w:tc>
          <w:tcPr>
            <w:tcW w:type="dxa" w:w="131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[Secretary]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After each meeting</w:t>
            </w:r>
          </w:p>
        </w:tc>
      </w:tr>
      <w:tr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3. Financial statements &amp; close</w:t>
            </w:r>
          </w:p>
        </w:tc>
        <w:tc>
          <w:tcPr>
            <w:tcW w:type="dxa" w:w="46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Monthly close checklist as performed, trial balances, reconciliations (bank, payroll liabilities, receivables), the year-end close file</w:t>
            </w:r>
          </w:p>
        </w:tc>
        <w:tc>
          <w:tcPr>
            <w:tcW w:type="dxa" w:w="131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[Finance lead]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Monthly</w:t>
            </w:r>
          </w:p>
        </w:tc>
      </w:tr>
      <w:tr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4. Revenue</w:t>
            </w:r>
          </w:p>
        </w:tc>
        <w:tc>
          <w:tcPr>
            <w:tcW w:type="dxa" w:w="468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Grant and contract agreements with amendments, the award inventory, drawdown and invoice files by award, contribution records and acknowledgment copies</w:t>
            </w:r>
          </w:p>
        </w:tc>
        <w:tc>
          <w:tcPr>
            <w:tcW w:type="dxa" w:w="131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[Finance lead]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On award; monthly</w:t>
            </w:r>
          </w:p>
        </w:tc>
      </w:tr>
      <w:tr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5. Expenditures</w:t>
            </w:r>
          </w:p>
        </w:tc>
        <w:tc>
          <w:tcPr>
            <w:tcW w:type="dxa" w:w="46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Procurement policy, approval evidence for transactions over thresholds, competitive process documentation where required, credit card statements with approvals</w:t>
            </w:r>
          </w:p>
        </w:tc>
        <w:tc>
          <w:tcPr>
            <w:tcW w:type="dxa" w:w="131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[Finance lead]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Monthly</w:t>
            </w:r>
          </w:p>
        </w:tc>
      </w:tr>
      <w:tr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6. Cost allocation</w:t>
            </w:r>
          </w:p>
        </w:tc>
        <w:tc>
          <w:tcPr>
            <w:tcW w:type="dxa" w:w="468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written methodology, the bases and their supporting documentation, the allocation worksheets as run</w:t>
            </w:r>
          </w:p>
        </w:tc>
        <w:tc>
          <w:tcPr>
            <w:tcW w:type="dxa" w:w="131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[Finance lead]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Quarterly</w:t>
            </w:r>
          </w:p>
        </w:tc>
      </w:tr>
      <w:tr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7. Payroll &amp; HR</w:t>
            </w:r>
          </w:p>
        </w:tc>
        <w:tc>
          <w:tcPr>
            <w:tcW w:type="dxa" w:w="46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Payroll registers, quarterly filings, the role catalog, sampled personnel-file checklist results, training completion evidence</w:t>
            </w:r>
          </w:p>
        </w:tc>
        <w:tc>
          <w:tcPr>
            <w:tcW w:type="dxa" w:w="131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[HR lead]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Quarterly</w:t>
            </w:r>
          </w:p>
        </w:tc>
      </w:tr>
      <w:tr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8. Assets &amp; liabilities</w:t>
            </w:r>
          </w:p>
        </w:tc>
        <w:tc>
          <w:tcPr>
            <w:tcW w:type="dxa" w:w="468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Fixed asset register with additions and disposals, depreciation schedule, lease agreements, loan agreements and covenant calendar</w:t>
            </w:r>
          </w:p>
        </w:tc>
        <w:tc>
          <w:tcPr>
            <w:tcW w:type="dxa" w:w="131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[Finance lead]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Quarterly</w:t>
            </w:r>
          </w:p>
        </w:tc>
      </w:tr>
      <w:tr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9. Federal awards</w:t>
            </w:r>
          </w:p>
        </w:tc>
        <w:tc>
          <w:tcPr>
            <w:tcW w:type="dxa" w:w="46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SEFA draft maintained through the year, single-audit threshold monitor, subrecipient monitoring records where applicable</w:t>
            </w:r>
          </w:p>
        </w:tc>
        <w:tc>
          <w:tcPr>
            <w:tcW w:type="dxa" w:w="131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[Finance lead]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Quarterly</w:t>
            </w:r>
          </w:p>
        </w:tc>
      </w:tr>
      <w:tr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10. Insurance &amp; risk</w:t>
            </w:r>
          </w:p>
        </w:tc>
        <w:tc>
          <w:tcPr>
            <w:tcW w:type="dxa" w:w="468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Policies in force, certificates issued, the requirement map from contracts, claims correspondence</w:t>
            </w:r>
          </w:p>
        </w:tc>
        <w:tc>
          <w:tcPr>
            <w:tcW w:type="dxa" w:w="131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[Ops lead]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On change</w:t>
            </w:r>
          </w:p>
        </w:tc>
      </w:tr>
      <w:tr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11. Compliance</w:t>
            </w:r>
          </w:p>
        </w:tc>
        <w:tc>
          <w:tcPr>
            <w:tcW w:type="dxa" w:w="46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Licensing correspondence and reports, monitoring findings and corrective-action closure evidence, accreditation correspondence</w:t>
            </w:r>
          </w:p>
        </w:tc>
        <w:tc>
          <w:tcPr>
            <w:tcW w:type="dxa" w:w="131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[Compliance lead]</w:t>
            </w: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On event</w:t>
            </w:r>
          </w:p>
        </w:tc>
      </w:tr>
      <w:tr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12. Prior year</w:t>
            </w:r>
          </w:p>
        </w:tc>
        <w:tc>
          <w:tcPr>
            <w:tcW w:type="dxa" w:w="468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Last audit, management letter, the responses, and the evidence that each prior finding’s fix held</w:t>
            </w:r>
          </w:p>
        </w:tc>
        <w:tc>
          <w:tcPr>
            <w:tcW w:type="dxa" w:w="131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[Finance lead]</w:t>
            </w: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Annually</w:t>
            </w:r>
          </w:p>
        </w:tc>
      </w:tr>
    </w:tbl>
    <w:p>
      <w:pPr>
        <w:spacing w:after="16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Operating it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Assign every section an owner by name. The finance lead does not own the binder; the binder has twelve owners and a coordinator.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Put each section’s refresh on the obligations calendar. Refresh means "add what the period produced", not "rebuild".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When the auditor’s request list arrives, map each request to a section. A request that maps nowhere becomes a new row in the index for next year.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After the audit, file the management letter in section 12 and open a corrective action for each comment — the fix, not just the response.</w:t>
      </w:r>
    </w:p>
    <w:p>
      <w:pPr>
        <w:pBdr>
          <w:top w:val="single" w:color="C9D6D9" w:sz="4" w:space="8"/>
        </w:pBdr>
        <w:spacing w:after="0" w:before="400"/>
      </w:pPr>
      <w:r>
        <w:rPr>
          <w:rFonts w:ascii="Calibri" w:cs="Calibri" w:eastAsia="Calibri" w:hAnsi="Calibri"/>
          <w:i/>
          <w:iCs/>
          <w:color w:val="55606B"/>
          <w:sz w:val="16"/>
          <w:szCs w:val="16"/>
        </w:rPr>
        <w:t xml:space="preserve">Published by The CARES Collaborative, a program of Knotts Family Services, Inc., for adaptation and use by charitable and community-serving organizations. No registration, no fee, no attribution required. This document is a working template, not legal, tax, or accounting advice — the requirements that apply to your organization are confirmed by your own counsel, auditor, and licensing authority. Version 1.0 · August 2026 · carescollaborative.org/open-shelf</w:t>
      </w:r>
    </w:p>
    <w:sectPr>
      <w:headerReference w:type="default" r:id="rId7"/>
      <w:footerReference w:type="default" r:id="rId8"/>
      <w:pgSz w:w="12240" w:h="15840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5606B"/>
        <w:sz w:val="14"/>
        <w:szCs w:val="14"/>
      </w:rPr>
      <w:t xml:space="preserve">Audit-Readiness Binder Index  ·  The Open Shelf  ·  page </w:t>
    </w:r>
    <w:r>
      <w:rPr>
        <w:rFonts w:ascii="Calibri" w:cs="Calibri" w:eastAsia="Calibri" w:hAnsi="Calibri"/>
        <w:color w:val="5560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alibri" w:cs="Calibri" w:eastAsia="Calibri" w:hAnsi="Calibri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76B7A"/>
      </w:rPr>
    </w:lvl>
    <w:lvl w:ilvl="1" w15:tentative="1">
      <w:start w:val="1"/>
      <w:numFmt w:val="bullet"/>
      <w:lvlText w:val="◦"/>
      <w:lvlJc w:val="left"/>
      <w:pPr>
        <w:ind w:left="720" w:hanging="200"/>
      </w:pPr>
      <w:rPr>
        <w:color w:val="176B7A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40"/>
      </w:pPr>
      <w:rPr>
        <w:b/>
        <w:bCs/>
        <w:color w:val="176B7A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Audit-Readiness Binder Index — The Open Shelf</dc:title>
  <dc:creator>Knotts Family Services, Inc.</dc:creator>
  <cp:lastModifiedBy>Un-named</cp:lastModifiedBy>
  <cp:revision>1</cp:revision>
  <dcterms:created xsi:type="dcterms:W3CDTF">2026-09-01T20:41:22.889Z</dcterms:created>
  <dcterms:modified xsi:type="dcterms:W3CDTF">2026-09-01T20:41:22.889Z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