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TEMPLATE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Cost-Allocation Methodology Template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written methodology with allocation bases, the documentation trail that supports each base, and the worksheet structure that produces the rates.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Federal or state pass-through funding, or a funder that asks how indirect costs are allocated.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Your cost pools, your bases, and everything your auditor tells you to change.</w:t>
            </w:r>
          </w:p>
        </w:tc>
      </w:tr>
    </w:tbl>
    <w:p>
      <w:pPr>
        <w:spacing w:after="2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What a monitor is actually testing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fiscal monitor testing cost allocation asks three things: is there a written methodology adopted before the costs were incurred; are the allocation bases reasonable and supported by documentation; and do the books actually follow the methodology. "We split it roughly by program size" fails all three — not because the split is unreasonable, but because it cannot be evidenced. This template produces the written methodology. Adopt it before the fiscal year it governs, and revisit it annually.</w:t>
      </w: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SCOPE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template addresses allocation of shared costs across programs and awards. Whether a given cost is allowable at all, and whether your organization should negotiate an indirect cost rate or use a de minimis rate, are separate questions for your CPA against the current federal cost principles. Do not paraphrase this document into a claim about allowability.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methodology document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1. Purpose and adoption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This methodology governs the allocation of shared and indirect costs of [Organization] for fiscal year [20__]. It was reviewed by the finance committee on [date] and adopted by the board on [date]. It is applied consistently to all programs and funding sources.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2. Direct, shared, and indirect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Direct costs</w:t>
      </w:r>
      <w:r>
        <w:rPr>
          <w:rFonts w:ascii="Calibri" w:cs="Calibri" w:eastAsia="Calibri" w:hAnsi="Calibri"/>
          <w:sz w:val="21"/>
          <w:szCs w:val="21"/>
        </w:rPr>
        <w:t xml:space="preserve"> benefit one program or award and are charged to it: program staff time, program supplies, program-specific occupancy.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Shared direct costs</w:t>
      </w:r>
      <w:r>
        <w:rPr>
          <w:rFonts w:ascii="Calibri" w:cs="Calibri" w:eastAsia="Calibri" w:hAnsi="Calibri"/>
          <w:sz w:val="21"/>
          <w:szCs w:val="21"/>
        </w:rPr>
        <w:t xml:space="preserve"> benefit more than one program identifiably and are allocated on a base that tracks the benefit: a facility housing two programs, a staff member serving three.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Indirect costs</w:t>
      </w:r>
      <w:r>
        <w:rPr>
          <w:rFonts w:ascii="Calibri" w:cs="Calibri" w:eastAsia="Calibri" w:hAnsi="Calibri"/>
          <w:sz w:val="21"/>
          <w:szCs w:val="21"/>
        </w:rPr>
        <w:t xml:space="preserve"> benefit the whole organization and cannot be identified to a program: general accounting, the audit, board expenses, organizational insurance, executive management not assignable by activity.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3. Cost pools and bases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Each shared or indirect pool is allocated on the base below. The test for every base: it tracks the relative benefit received, and it is supported by documentation that exists anyway or is cheap to keep.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2808"/>
        <w:gridCol w:w="3557"/>
        <w:gridCol w:w="2995"/>
      </w:tblGrid>
      <w:tr>
        <w:trPr>
          <w:tblHeader/>
        </w:trPr>
        <w:tc>
          <w:tcPr>
            <w:tcW w:type="dxa" w:w="280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Pool</w:t>
            </w:r>
          </w:p>
        </w:tc>
        <w:tc>
          <w:tcPr>
            <w:tcW w:type="dxa" w:w="3557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Base</w:t>
            </w:r>
          </w:p>
        </w:tc>
        <w:tc>
          <w:tcPr>
            <w:tcW w:type="dxa" w:w="299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Supporting documentation</w:t>
            </w:r>
          </w:p>
        </w:tc>
      </w:tr>
      <w:tr>
        <w:tc>
          <w:tcPr>
            <w:tcW w:type="dxa" w:w="280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Occupancy (rent, utilities, maintenance)</w:t>
            </w:r>
          </w:p>
        </w:tc>
        <w:tc>
          <w:tcPr>
            <w:tcW w:type="dxa" w:w="355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Square footage occupied by each program; common space allocated in proportion to directly-occupied space</w:t>
            </w:r>
          </w:p>
        </w:tc>
        <w:tc>
          <w:tcPr>
            <w:tcW w:type="dxa" w:w="299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Floor plan with measured assignments, updated on any move</w:t>
            </w:r>
          </w:p>
        </w:tc>
      </w:tr>
      <w:tr>
        <w:tc>
          <w:tcPr>
            <w:tcW w:type="dxa" w:w="280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Shared personnel</w:t>
            </w:r>
          </w:p>
        </w:tc>
        <w:tc>
          <w:tcPr>
            <w:tcW w:type="dxa" w:w="355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Time actually worked per program, from time records — not budget estimates</w:t>
            </w:r>
          </w:p>
        </w:tc>
        <w:tc>
          <w:tcPr>
            <w:tcW w:type="dxa" w:w="299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Timesheets or a compliant personnel activity documentation method</w:t>
            </w:r>
          </w:p>
        </w:tc>
      </w:tr>
      <w:tr>
        <w:tc>
          <w:tcPr>
            <w:tcW w:type="dxa" w:w="280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Technology and communications</w:t>
            </w:r>
          </w:p>
        </w:tc>
        <w:tc>
          <w:tcPr>
            <w:tcW w:type="dxa" w:w="355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User count per program, or device count where users are shared</w:t>
            </w:r>
          </w:p>
        </w:tc>
        <w:tc>
          <w:tcPr>
            <w:tcW w:type="dxa" w:w="299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systems inventory, per-program user list, refreshed quarterly</w:t>
            </w:r>
          </w:p>
        </w:tc>
      </w:tr>
      <w:tr>
        <w:tc>
          <w:tcPr>
            <w:tcW w:type="dxa" w:w="280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Organizational insurance</w:t>
            </w:r>
          </w:p>
        </w:tc>
        <w:tc>
          <w:tcPr>
            <w:tcW w:type="dxa" w:w="355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 proportion to each program’s share of total direct salaries, unless a policy is program-specific (charge those direct)</w:t>
            </w:r>
          </w:p>
        </w:tc>
        <w:tc>
          <w:tcPr>
            <w:tcW w:type="dxa" w:w="299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Payroll register summary by program</w:t>
            </w:r>
          </w:p>
        </w:tc>
      </w:tr>
      <w:tr>
        <w:tc>
          <w:tcPr>
            <w:tcW w:type="dxa" w:w="280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General administration (finance, audit, governance, executive)</w:t>
            </w:r>
          </w:p>
        </w:tc>
        <w:tc>
          <w:tcPr>
            <w:tcW w:type="dxa" w:w="3557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[Modified total direct costs / total direct salaries — choose one and keep it]</w:t>
            </w:r>
          </w:p>
        </w:tc>
        <w:tc>
          <w:tcPr>
            <w:tcW w:type="dxa" w:w="299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general ledger grouping that defines the base, documented once</w:t>
            </w:r>
          </w:p>
        </w:tc>
      </w:tr>
      <w:tr>
        <w:tc>
          <w:tcPr>
            <w:tcW w:type="dxa" w:w="280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Vehicles</w:t>
            </w:r>
          </w:p>
        </w:tc>
        <w:tc>
          <w:tcPr>
            <w:tcW w:type="dxa" w:w="3557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Miles by program from vehicle logs</w:t>
            </w:r>
          </w:p>
        </w:tc>
        <w:tc>
          <w:tcPr>
            <w:tcW w:type="dxa" w:w="299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Vehicle logs</w:t>
            </w: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4. What is never allocated to awards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Costs unallowable under the applicable cost principles or a specific award’s terms — for example fundraising, fines, entertainment, and lobbying — are recorded in separate accounts and are excluded from every pool that touches an award. The chart of accounts marks them.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5. The worksheet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allocation runs [monthly/quarterly] on a worksheet that shows, for each pool: the total from the general ledger; the base values and their source; the resulting percentages; and the amounts posted to each program. The worksheet is filed with the close for the period. The books, the worksheet, and this methodology must agree — a monitor will check all three against each other.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6. Change control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base is changed prospectively, by finance committee review and board adoption, with the reason recorded. Bases are not changed retroactively, and never because of the result they produce for a particular award.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two failure modes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Budget-based "time" allocation.</w:t>
      </w:r>
      <w:r>
        <w:rPr>
          <w:rFonts w:ascii="Calibri" w:cs="Calibri" w:eastAsia="Calibri" w:hAnsi="Calibri"/>
          <w:sz w:val="21"/>
          <w:szCs w:val="21"/>
        </w:rPr>
        <w:t xml:space="preserve"> Allocating shared salaries by budgeted percentages instead of records of time actually worked is the most common repayment finding in the sector. Keep the time records.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The drifted floor plan.</w:t>
      </w:r>
      <w:r>
        <w:rPr>
          <w:rFonts w:ascii="Calibri" w:cs="Calibri" w:eastAsia="Calibri" w:hAnsi="Calibri"/>
          <w:sz w:val="21"/>
          <w:szCs w:val="21"/>
        </w:rPr>
        <w:t xml:space="preserve"> Programs move; the square-footage base does not. Re-measure on any move and date the floor plan.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Cost-Allocation Methodology Template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Cost-Allocation Methodology Template — The Open Shelf</dc:title>
  <dc:creator>Knotts Family Services, Inc.</dc:creator>
  <cp:lastModifiedBy>Un-named</cp:lastModifiedBy>
  <cp:revision>1</cp:revision>
  <dcterms:created xsi:type="dcterms:W3CDTF">2026-09-01T20:41:22.934Z</dcterms:created>
  <dcterms:modified xsi:type="dcterms:W3CDTF">2026-09-01T20:41:22.934Z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