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GUIDE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Incident Response Plan and Tabletop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Who is called, in what order, what gets preserved, who notifies whom and on what clock — plus the tabletop exercise script that proves the plan works.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You hold confidential records. Every organization in this sector does.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notification obligations, which depend on what data you hold and in which state — confirm them with counsel and write them into section 4 before you rely on this.</w:t>
            </w:r>
          </w:p>
        </w:tc>
      </w:tr>
    </w:tbl>
    <w:p>
      <w:pPr>
        <w:spacing w:after="200" w:before="0" w:line="276"/>
      </w:pP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THE CALL LIST AND THE LOG ARE THE SPREADSHEET</w:t>
            </w:r>
          </w:p>
          <w:p>
            <w:pPr>
              <w:spacing w:after="12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This document explains the sequence and why each step is in it. </w:t>
            </w: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The working parts are the accompanying spreadsheet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— the call list with alternates and a checked date, the notification register your counsel fills in, the event log used live, and the tabletop record.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Print the event log. The first hour is not the time to look for a file.</w:t>
            </w:r>
          </w:p>
        </w:tc>
      </w:tr>
    </w:tbl>
    <w:p>
      <w:pPr>
        <w:spacing w:after="1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The plan’s one job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On the worst morning — ransomware on the case management system, a stolen laptop, a staff member’s credentials phished — the plan’s job is to replace improvisation with a sequence. Everything below is designed to be usable by a stressed person at 7 a.m.: names, phone numbers, an order of operations, and the two rules people break under pressure.</w:t>
      </w: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THE TWO RULES</w:t>
            </w:r>
          </w:p>
          <w:p>
            <w:pPr>
              <w:spacing w:after="12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Preserve before you fix.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Do not wipe, reimage, or delete anything until evidence is preserved — what happened and to whose data determines your legal obligations, and destroying the evidence destroys your ability to answer.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Nobody communicates externally except the named voice.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 No staff posts, no individual replies to affected people, no statements — until the response lead and, where engaged, counsel approve the communication.</w:t>
            </w:r>
          </w:p>
        </w:tc>
      </w:tr>
    </w:tbl>
    <w:p>
      <w:pPr>
        <w:spacing w:after="1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1. Roles — names and numbers</w:t>
      </w:r>
    </w:p>
    <w:tbl>
      <w:tblPr>
        <w:tblW w:type="dxa" w:w="9360"/>
        <w:tblBorders>
          <w:top w:val="single" w:color="C9D6D9" w:sz="6"/>
          <w:left w:val="single" w:color="C9D6D9" w:sz="6"/>
          <w:bottom w:val="single" w:color="C9D6D9" w:sz="6"/>
          <w:right w:val="single" w:color="C9D6D9" w:sz="6"/>
          <w:insideH w:val="single" w:color="C9D6D9" w:sz="4"/>
          <w:insideV w:val="single" w:color="C9D6D9" w:sz="4"/>
        </w:tblBorders>
      </w:tblPr>
      <w:tblGrid>
        <w:gridCol w:w="3931"/>
        <w:gridCol w:w="1872"/>
        <w:gridCol w:w="1872"/>
        <w:gridCol w:w="1685"/>
      </w:tblGrid>
      <w:tr>
        <w:trPr>
          <w:tblHeader/>
        </w:trPr>
        <w:tc>
          <w:tcPr>
            <w:tcW w:type="dxa" w:w="3931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type="dxa" w:w="1872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Person</w:t>
            </w:r>
          </w:p>
        </w:tc>
        <w:tc>
          <w:tcPr>
            <w:tcW w:type="dxa" w:w="1872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Backup</w:t>
            </w:r>
          </w:p>
        </w:tc>
        <w:tc>
          <w:tcPr>
            <w:tcW w:type="dxa" w:w="1685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Phone</w:t>
            </w: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Response lead (declares an incident, directs the response)</w:t>
            </w:r>
          </w:p>
        </w:tc>
        <w:tc>
          <w:tcPr>
            <w:tcW w:type="dxa" w:w="187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87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Technical lead (contains, preserves, investigates)</w:t>
            </w:r>
          </w:p>
        </w:tc>
        <w:tc>
          <w:tcPr>
            <w:tcW w:type="dxa" w:w="187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87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Communications voice (the only external voice)</w:t>
            </w:r>
          </w:p>
        </w:tc>
        <w:tc>
          <w:tcPr>
            <w:tcW w:type="dxa" w:w="187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87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Records/compliance lead (notification obligations)</w:t>
            </w:r>
          </w:p>
        </w:tc>
        <w:tc>
          <w:tcPr>
            <w:tcW w:type="dxa" w:w="187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87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Counsel (engage early for anything touching client data)</w:t>
            </w:r>
          </w:p>
        </w:tc>
        <w:tc>
          <w:tcPr>
            <w:tcW w:type="dxa" w:w="187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87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Cyber insurer hotline (policy #, and note: many policies require notice before costs are incurred)</w:t>
            </w:r>
          </w:p>
        </w:tc>
        <w:tc>
          <w:tcPr>
            <w:tcW w:type="dxa" w:w="187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87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685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  <w:tr>
        <w:tc>
          <w:tcPr>
            <w:tcW w:type="dxa" w:w="393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IT provider / key vendors</w:t>
            </w:r>
          </w:p>
        </w:tc>
        <w:tc>
          <w:tcPr>
            <w:tcW w:type="dxa" w:w="187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87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  <w:tc>
          <w:tcPr>
            <w:tcW w:type="dxa" w:w="1685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</w:p>
        </w:tc>
      </w:tr>
    </w:tbl>
    <w:p>
      <w:pPr>
        <w:spacing w:after="16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2. First 24 hours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Report.</w:t>
      </w:r>
      <w:r>
        <w:rPr>
          <w:rFonts w:ascii="Calibri" w:cs="Calibri" w:eastAsia="Calibri" w:hAnsi="Calibri"/>
          <w:sz w:val="21"/>
          <w:szCs w:val="21"/>
        </w:rPr>
        <w:t xml:space="preserve"> Anyone who suspects an incident reports it immediately to the response lead — hour or day, no triage by the reporter. Late reporting is the failure mode; the plan states plainly that reporting is never punished.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Declare and log.</w:t>
      </w:r>
      <w:r>
        <w:rPr>
          <w:rFonts w:ascii="Calibri" w:cs="Calibri" w:eastAsia="Calibri" w:hAnsi="Calibri"/>
          <w:sz w:val="21"/>
          <w:szCs w:val="21"/>
        </w:rPr>
        <w:t xml:space="preserve"> The response lead opens the incident log: time, reporter, what is known. Every action from here is logged with a time.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Contain.</w:t>
      </w:r>
      <w:r>
        <w:rPr>
          <w:rFonts w:ascii="Calibri" w:cs="Calibri" w:eastAsia="Calibri" w:hAnsi="Calibri"/>
          <w:sz w:val="21"/>
          <w:szCs w:val="21"/>
        </w:rPr>
        <w:t xml:space="preserve"> Technical lead isolates affected systems — disconnect, disable accounts, block — using the systems inventory to find everything connected.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Preserve.</w:t>
      </w:r>
      <w:r>
        <w:rPr>
          <w:rFonts w:ascii="Calibri" w:cs="Calibri" w:eastAsia="Calibri" w:hAnsi="Calibri"/>
          <w:sz w:val="21"/>
          <w:szCs w:val="21"/>
        </w:rPr>
        <w:t xml:space="preserve"> Before remediation: image or snapshot affected systems where feasible, export relevant logs, photograph screens if that is what is available. Preserve first, then fix.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Engage.</w:t>
      </w:r>
      <w:r>
        <w:rPr>
          <w:rFonts w:ascii="Calibri" w:cs="Calibri" w:eastAsia="Calibri" w:hAnsi="Calibri"/>
          <w:sz w:val="21"/>
          <w:szCs w:val="21"/>
        </w:rPr>
        <w:t xml:space="preserve"> Counsel and the cyber insurer, per the numbers above, for any incident plausibly touching client, personnel, or financial data.</w:t>
      </w:r>
    </w:p>
    <w:p>
      <w:pPr>
        <w:pStyle w:val="ListParagraph"/>
        <w:numPr>
          <w:ilvl w:val="0"/>
          <w:numId w:val="2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Assess scope.</w:t>
      </w:r>
      <w:r>
        <w:rPr>
          <w:rFonts w:ascii="Calibri" w:cs="Calibri" w:eastAsia="Calibri" w:hAnsi="Calibri"/>
          <w:sz w:val="21"/>
          <w:szCs w:val="21"/>
        </w:rPr>
        <w:t xml:space="preserve"> What systems, what data categories (use the inventory’s sensitivity column), what people, what period.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3. Days 2–30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Eradicate and recover: rebuild from clean sources, restore from backups (the tested restore — this is why it was tested), rotate credentials broadly.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Determine notification obligations — section 4 — and execute them on their clocks.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Track everything in the log: decisions, times, who was told what.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4. Notification obligations — complete with counsel before relying on this plan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Write here, as plain instructions with clocks and addresses: the state breach-notification requirements that apply to you; regulator and licensing notifications your program rules require; contractual notice obligations in county and funder agreements (many contain 24–72 hour clauses — pull them from the award inventory); HIPAA obligations where applicable; and insurer notice requirements. This section is the reason the plan needs counsel’s review once — after that, the 7 a.m. reader just follows it.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5. Afterwards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A written post-incident review within [30] days: timeline, what worked, what did not, and system changes — through the corrective-action protocol, so the fixes are verified later.</w:t>
      </w:r>
    </w:p>
    <w:p>
      <w:pPr>
        <w:pStyle w:val="ListParagraph"/>
        <w:numPr>
          <w:ilvl w:val="0"/>
          <w:numId w:val="3"/>
        </w:numPr>
        <w:spacing w:after="70" w:line="276"/>
      </w:pPr>
      <w:r>
        <w:rPr>
          <w:rFonts w:ascii="Calibri" w:cs="Calibri" w:eastAsia="Calibri" w:hAnsi="Calibri"/>
          <w:sz w:val="21"/>
          <w:szCs w:val="21"/>
        </w:rPr>
        <w:t xml:space="preserve">Board notified per its policy; the incident summary goes to the quality committee.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6. The tabletop — 60 minutes, twice a year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A plan that has never been exercised is a document, not a capability. Script: the facilitator reads the scenario in stages; the named roles say what they would actually do; the facilitator writes down every gap.</w:t>
      </w:r>
    </w:p>
    <w:p>
      <w:pPr>
        <w:pStyle w:val="ListParagraph"/>
        <w:numPr>
          <w:ilvl w:val="0"/>
          <w:numId w:val="4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Scenario, stage 1:</w:t>
      </w:r>
      <w:r>
        <w:rPr>
          <w:rFonts w:ascii="Calibri" w:cs="Calibri" w:eastAsia="Calibri" w:hAnsi="Calibri"/>
          <w:sz w:val="21"/>
          <w:szCs w:val="21"/>
        </w:rPr>
        <w:t xml:space="preserve"> Monday 7:40 a.m. — a case worker reports the case management system is showing a ransom screen. What happens in the next thirty minutes? Who is called, in what order? (Watch for: does anyone preserve before fixing?)</w:t>
      </w:r>
    </w:p>
    <w:p>
      <w:pPr>
        <w:pStyle w:val="ListParagraph"/>
        <w:numPr>
          <w:ilvl w:val="0"/>
          <w:numId w:val="4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Stage 2:</w:t>
      </w:r>
      <w:r>
        <w:rPr>
          <w:rFonts w:ascii="Calibri" w:cs="Calibri" w:eastAsia="Calibri" w:hAnsi="Calibri"/>
          <w:sz w:val="21"/>
          <w:szCs w:val="21"/>
        </w:rPr>
        <w:t xml:space="preserve"> The technical lead finds the backups also encrypted — except the offline copy from Thursday. What is lost? Who decides whether to restore?</w:t>
      </w:r>
    </w:p>
    <w:p>
      <w:pPr>
        <w:pStyle w:val="ListParagraph"/>
        <w:numPr>
          <w:ilvl w:val="0"/>
          <w:numId w:val="4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Stage 3:</w:t>
      </w:r>
      <w:r>
        <w:rPr>
          <w:rFonts w:ascii="Calibri" w:cs="Calibri" w:eastAsia="Calibri" w:hAnsi="Calibri"/>
          <w:sz w:val="21"/>
          <w:szCs w:val="21"/>
        </w:rPr>
        <w:t xml:space="preserve"> A county program manager emails asking whether their referrals are affected. Who answers, and what may they say today? (Watch for: anyone but the named voice answering.)</w:t>
      </w:r>
    </w:p>
    <w:p>
      <w:pPr>
        <w:pStyle w:val="ListParagraph"/>
        <w:numPr>
          <w:ilvl w:val="0"/>
          <w:numId w:val="4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Stage 4:</w:t>
      </w:r>
      <w:r>
        <w:rPr>
          <w:rFonts w:ascii="Calibri" w:cs="Calibri" w:eastAsia="Calibri" w:hAnsi="Calibri"/>
          <w:sz w:val="21"/>
          <w:szCs w:val="21"/>
        </w:rPr>
        <w:t xml:space="preserve"> The insurer asks for the incident log and the systems inventory. Can we produce them?</w:t>
      </w:r>
    </w:p>
    <w:p>
      <w:pPr>
        <w:pStyle w:val="ListParagraph"/>
        <w:numPr>
          <w:ilvl w:val="0"/>
          <w:numId w:val="4"/>
        </w:numPr>
        <w:spacing w:after="7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Close:</w:t>
      </w:r>
      <w:r>
        <w:rPr>
          <w:rFonts w:ascii="Calibri" w:cs="Calibri" w:eastAsia="Calibri" w:hAnsi="Calibri"/>
          <w:sz w:val="21"/>
          <w:szCs w:val="21"/>
        </w:rPr>
        <w:t xml:space="preserve"> every gap found goes on the corrective-action log with an owner. Date the plan’s next revision.</w:t>
      </w: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Incident Response Plan and Tabletop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Response Plan and Tabletop — The Open Shelf</dc:title>
  <dc:creator>Knotts Family Services, Inc.</dc:creator>
  <cp:lastModifiedBy>Un-named</cp:lastModifiedBy>
  <cp:revision>1</cp:revision>
  <dcterms:created xsi:type="dcterms:W3CDTF">2026-09-01T20:41:23.025Z</dcterms:created>
  <dcterms:modified xsi:type="dcterms:W3CDTF">2026-09-01T20:41:23.025Z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