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CROSSWALK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The Requirement-to-Evidence Map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structure for tracing every licensing, accreditation, contract, and funder requirement to the specific document that demonstrates it, and to the person who owns producing it.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You can list your obligations. If you cannot, the first section shows you where to find them.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Everything in the requirement column — this is a frame, not a filled-in answer.</w:t>
            </w:r>
          </w:p>
        </w:tc>
      </w:tr>
    </w:tbl>
    <w:p>
      <w:pPr>
        <w:spacing w:after="2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problem this fixes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Most regulated organizations are more compliant than they can prove. The work happens; the evidence is scattered across drives, inboxes, and memory. When a licensing analyst, a county monitor, an accreditation surveyor, or an auditor asks for proof, the answer is assembled by hand under pressure — and what cannot be found in time reads as absent.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The map fixes the structural cause: nobody has ever traced each requirement to the specific artifact that satisfies it and the person who owns producing that artifact. Once the trace exists, a request for evidence becomes a lookup instead of a project — and the gaps become visible before someone else finds them.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Where requirements come from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Build the requirement column from the primary sources, not from memory. For a typical licensed human-services organization the sources are: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The license</w:t>
      </w:r>
      <w:r>
        <w:rPr>
          <w:rFonts w:ascii="Calibri" w:cs="Calibri" w:eastAsia="Calibri" w:hAnsi="Calibri"/>
          <w:sz w:val="21"/>
          <w:szCs w:val="21"/>
        </w:rPr>
        <w:t xml:space="preserve"> — the regulations for your facility or program type, plus any waivers and conditions on your specific license.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Each government contract</w:t>
      </w:r>
      <w:r>
        <w:rPr>
          <w:rFonts w:ascii="Calibri" w:cs="Calibri" w:eastAsia="Calibri" w:hAnsi="Calibri"/>
          <w:sz w:val="21"/>
          <w:szCs w:val="21"/>
        </w:rPr>
        <w:t xml:space="preserve"> — the scope of work, the insurance clause, the reporting clause, the records clause, and the monitoring clause. Every contract, read separately: they differ.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Accreditation standards</w:t>
      </w:r>
      <w:r>
        <w:rPr>
          <w:rFonts w:ascii="Calibri" w:cs="Calibri" w:eastAsia="Calibri" w:hAnsi="Calibri"/>
          <w:sz w:val="21"/>
          <w:szCs w:val="21"/>
        </w:rPr>
        <w:t xml:space="preserve"> — the current edition for your accredited programs.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Funder terms</w:t>
      </w:r>
      <w:r>
        <w:rPr>
          <w:rFonts w:ascii="Calibri" w:cs="Calibri" w:eastAsia="Calibri" w:hAnsi="Calibri"/>
          <w:sz w:val="21"/>
          <w:szCs w:val="21"/>
        </w:rPr>
        <w:t xml:space="preserve"> — grant agreements, including pass-through federal terms where they apply.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Your own adopted policies</w:t>
      </w:r>
      <w:r>
        <w:rPr>
          <w:rFonts w:ascii="Calibri" w:cs="Calibri" w:eastAsia="Calibri" w:hAnsi="Calibri"/>
          <w:sz w:val="21"/>
          <w:szCs w:val="21"/>
        </w:rPr>
        <w:t xml:space="preserve"> — a policy the board adopted is a commitment a reviewer may test you against.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Employment and payroll law obligations</w:t>
      </w:r>
      <w:r>
        <w:rPr>
          <w:rFonts w:ascii="Calibri" w:cs="Calibri" w:eastAsia="Calibri" w:hAnsi="Calibri"/>
          <w:sz w:val="21"/>
          <w:szCs w:val="21"/>
        </w:rPr>
        <w:t xml:space="preserve"> that require records — postings, notices, training completions.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map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One row per requirement. The discipline is in the third and fourth columns: the evidence must be a specific artifact, and the owner must be a person.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374"/>
        <w:gridCol w:w="2808"/>
        <w:gridCol w:w="2434"/>
        <w:gridCol w:w="936"/>
        <w:gridCol w:w="1217"/>
        <w:gridCol w:w="749"/>
        <w:gridCol w:w="842"/>
      </w:tblGrid>
      <w:tr>
        <w:trPr>
          <w:tblHeader/>
        </w:trPr>
        <w:tc>
          <w:tcPr>
            <w:tcW w:type="dxa" w:w="374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80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Requirement (verbatim source and cite)</w:t>
            </w:r>
          </w:p>
        </w:tc>
        <w:tc>
          <w:tcPr>
            <w:tcW w:type="dxa" w:w="2434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Evidence — the specific artifact</w:t>
            </w:r>
          </w:p>
        </w:tc>
        <w:tc>
          <w:tcPr>
            <w:tcW w:type="dxa" w:w="936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1217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Where it lives</w:t>
            </w:r>
          </w:p>
        </w:tc>
        <w:tc>
          <w:tcPr>
            <w:tcW w:type="dxa" w:w="749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Refresh</w:t>
            </w:r>
          </w:p>
        </w:tc>
        <w:tc>
          <w:tcPr>
            <w:tcW w:type="dxa" w:w="842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37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280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e.g. Personnel files contain a criminal record clearance before client contact [cite]</w:t>
            </w:r>
          </w:p>
        </w:tc>
        <w:tc>
          <w:tcPr>
            <w:tcW w:type="dxa" w:w="243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Per-employee clearance record in the personnel file, dated before start of client contact</w:t>
            </w:r>
          </w:p>
        </w:tc>
        <w:tc>
          <w:tcPr>
            <w:tcW w:type="dxa" w:w="93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[HR lead]</w:t>
            </w:r>
          </w:p>
        </w:tc>
        <w:tc>
          <w:tcPr>
            <w:tcW w:type="dxa" w:w="121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[Personnel files, section 2]</w:t>
            </w:r>
          </w:p>
        </w:tc>
        <w:tc>
          <w:tcPr>
            <w:tcW w:type="dxa" w:w="74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 hire</w:t>
            </w:r>
          </w:p>
        </w:tc>
        <w:tc>
          <w:tcPr>
            <w:tcW w:type="dxa" w:w="84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☐ Evidenced ☐ Gap</w:t>
            </w:r>
          </w:p>
        </w:tc>
      </w:tr>
      <w:tr>
        <w:tc>
          <w:tcPr>
            <w:tcW w:type="dxa" w:w="374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280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e.g. Liability coverage at $[X]M per county contract §[Y]</w:t>
            </w:r>
          </w:p>
        </w:tc>
        <w:tc>
          <w:tcPr>
            <w:tcW w:type="dxa" w:w="2434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Current certificate of insurance naming the county as required</w:t>
            </w:r>
          </w:p>
        </w:tc>
        <w:tc>
          <w:tcPr>
            <w:tcW w:type="dxa" w:w="93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[Ops lead]</w:t>
            </w:r>
          </w:p>
        </w:tc>
        <w:tc>
          <w:tcPr>
            <w:tcW w:type="dxa" w:w="121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[Insurance binder]</w:t>
            </w:r>
          </w:p>
        </w:tc>
        <w:tc>
          <w:tcPr>
            <w:tcW w:type="dxa" w:w="74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 renewal</w:t>
            </w:r>
          </w:p>
        </w:tc>
        <w:tc>
          <w:tcPr>
            <w:tcW w:type="dxa" w:w="84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☐ Evidenced ☐ Gap</w:t>
            </w:r>
          </w:p>
        </w:tc>
      </w:tr>
      <w:tr>
        <w:tc>
          <w:tcPr>
            <w:tcW w:type="dxa" w:w="37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280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e.g. Quarterly report to funder by the 15th [grant §]</w:t>
            </w:r>
          </w:p>
        </w:tc>
        <w:tc>
          <w:tcPr>
            <w:tcW w:type="dxa" w:w="243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Filed report plus submission confirmation</w:t>
            </w:r>
          </w:p>
        </w:tc>
        <w:tc>
          <w:tcPr>
            <w:tcW w:type="dxa" w:w="93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[Program lead]</w:t>
            </w:r>
          </w:p>
        </w:tc>
        <w:tc>
          <w:tcPr>
            <w:tcW w:type="dxa" w:w="121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[Grants drive / award folder]</w:t>
            </w:r>
          </w:p>
        </w:tc>
        <w:tc>
          <w:tcPr>
            <w:tcW w:type="dxa" w:w="74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Quarterly</w:t>
            </w:r>
          </w:p>
        </w:tc>
        <w:tc>
          <w:tcPr>
            <w:tcW w:type="dxa" w:w="84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☐ Evidenced ☐ Gap</w:t>
            </w:r>
          </w:p>
        </w:tc>
      </w:tr>
      <w:tr>
        <w:tc>
          <w:tcPr>
            <w:tcW w:type="dxa" w:w="374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…</w:t>
            </w:r>
          </w:p>
        </w:tc>
        <w:tc>
          <w:tcPr>
            <w:tcW w:type="dxa" w:w="280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434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93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21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74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84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</w:tbl>
    <w:p>
      <w:pPr>
        <w:spacing w:after="16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Rules for filling it in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Quote the requirement and cite it.</w:t>
      </w:r>
      <w:r>
        <w:rPr>
          <w:rFonts w:ascii="Calibri" w:cs="Calibri" w:eastAsia="Calibri" w:hAnsi="Calibri"/>
          <w:sz w:val="21"/>
          <w:szCs w:val="21"/>
        </w:rPr>
        <w:t xml:space="preserve"> A paraphrase drifts; a cite lets anyone check the current text.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Name an artifact, not a practice.</w:t>
      </w:r>
      <w:r>
        <w:rPr>
          <w:rFonts w:ascii="Calibri" w:cs="Calibri" w:eastAsia="Calibri" w:hAnsi="Calibri"/>
          <w:sz w:val="21"/>
          <w:szCs w:val="21"/>
        </w:rPr>
        <w:t xml:space="preserve"> "We always do background checks" is a practice. "The clearance record in the personnel file, dated before start" is evidence.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Name a person, not a department.</w:t>
      </w:r>
      <w:r>
        <w:rPr>
          <w:rFonts w:ascii="Calibri" w:cs="Calibri" w:eastAsia="Calibri" w:hAnsi="Calibri"/>
          <w:sz w:val="21"/>
          <w:szCs w:val="21"/>
        </w:rPr>
        <w:t xml:space="preserve"> A department owning something means nobody owns it.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Mark gaps honestly.</w:t>
      </w:r>
      <w:r>
        <w:rPr>
          <w:rFonts w:ascii="Calibri" w:cs="Calibri" w:eastAsia="Calibri" w:hAnsi="Calibri"/>
          <w:sz w:val="21"/>
          <w:szCs w:val="21"/>
        </w:rPr>
        <w:t xml:space="preserve"> The map’s first draft always contains gaps. A gap you found is a work item; a gap a monitor finds is a finding.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Give every row a refresh cadence</w:t>
      </w:r>
      <w:r>
        <w:rPr>
          <w:rFonts w:ascii="Calibri" w:cs="Calibri" w:eastAsia="Calibri" w:hAnsi="Calibri"/>
          <w:sz w:val="21"/>
          <w:szCs w:val="21"/>
        </w:rPr>
        <w:t xml:space="preserve"> — on hire, on renewal, monthly, annually — and put the cadence items on the obligations calendar.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Operating the map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Review the map whenever a contract renews, a regulation changes, or a policy is adopted — the owner of the change adds or amends the rows.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Walk the full map once a year, confirming each artifact can actually be produced within the hour. Sample, do not assume.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When a reviewer asks for evidence, answer from the map and record what was asked — repeated requests reveal what your next reviewer will ask.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The Requirement-to-Evidence Map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Requirement-to-Evidence Map — The Open Shelf</dc:title>
  <dc:creator>Knotts Family Services, Inc.</dc:creator>
  <cp:lastModifiedBy>Un-named</cp:lastModifiedBy>
  <cp:revision>1</cp:revision>
  <dcterms:created xsi:type="dcterms:W3CDTF">2026-09-01T20:41:22.870Z</dcterms:created>
  <dcterms:modified xsi:type="dcterms:W3CDTF">2026-09-01T20:41:22.870Z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