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single" w:color="A65C22" w:sz="10" w:space="8"/>
        </w:pBdr>
        <w:spacing w:after="0"/>
      </w:pPr>
      <w:r>
        <w:rPr>
          <w:rFonts w:ascii="Calibri" w:cs="Calibri" w:eastAsia="Calibri" w:hAnsi="Calibri"/>
          <w:b/>
          <w:bCs/>
          <w:color w:val="176B7A"/>
          <w:sz w:val="17"/>
          <w:szCs w:val="17"/>
        </w:rPr>
        <w:t xml:space="preserve">THE OPEN SHELF</w:t>
      </w:r>
      <w:r>
        <w:rPr>
          <w:rFonts w:ascii="Calibri" w:cs="Calibri" w:eastAsia="Calibri" w:hAnsi="Calibri"/>
          <w:color w:val="55606B"/>
          <w:sz w:val="17"/>
          <w:szCs w:val="17"/>
        </w:rPr>
        <w:t xml:space="preserve">   ·   The CARES Collaborative   ·   free to adapt and use</w:t>
      </w:r>
    </w:p>
    <w:p>
      <w:pPr>
        <w:spacing w:after="60" w:before="340"/>
      </w:pPr>
      <w:r>
        <w:rPr>
          <w:rFonts w:ascii="Calibri" w:cs="Calibri" w:eastAsia="Calibri" w:hAnsi="Calibri"/>
          <w:b/>
          <w:bCs/>
          <w:caps/>
          <w:color w:val="A65C22"/>
          <w:sz w:val="16"/>
          <w:szCs w:val="16"/>
        </w:rPr>
        <w:t xml:space="preserve">KIT — AGENDA, RUBRIC, AND SAMPLING SCHEDULE</w:t>
      </w:r>
    </w:p>
    <w:p>
      <w:pPr>
        <w:spacing w:after="220"/>
      </w:pPr>
      <w:r>
        <w:rPr>
          <w:rFonts w:ascii="Calibri" w:cs="Calibri" w:eastAsia="Calibri" w:hAnsi="Calibri"/>
          <w:b/>
          <w:bCs/>
          <w:color w:val="0F3D4C"/>
          <w:sz w:val="40"/>
          <w:szCs w:val="40"/>
        </w:rPr>
        <w:t xml:space="preserve">The Supervisor’s Field Kit</w:t>
      </w:r>
    </w:p>
    <w:tbl>
      <w:tblPr>
        <w:tblW w:type="dxa" w:w="9360"/>
        <w:tblBorders>
          <w:top w:val="single" w:color="C9D6D9" w:sz="4"/>
          <w:left w:val="single" w:color="C9D6D9" w:sz="4"/>
          <w:bottom w:val="single" w:color="C9D6D9" w:sz="4"/>
          <w:right w:val="single" w:color="C9D6D9" w:sz="4"/>
          <w:insideH w:val="single" w:color="DFE7E8" w:sz="4"/>
          <w:insideV w:val="single" w:color="DFE7E8" w:sz="4"/>
        </w:tblBorders>
      </w:tblPr>
      <w:tblGrid>
        <w:gridCol w:w="1900"/>
        <w:gridCol w:w="7460"/>
      </w:tblGrid>
      <w:tr>
        <w:tc>
          <w:tcPr>
            <w:tcW w:type="dxa" w:w="1900"/>
            <w:shd w:fill="EEF3F4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0F3D4C"/>
                <w:sz w:val="17"/>
                <w:szCs w:val="17"/>
              </w:rPr>
              <w:t xml:space="preserve">What this is</w:t>
            </w:r>
          </w:p>
        </w:tc>
        <w:tc>
          <w:tcPr>
            <w:tcW w:type="dxa" w:w="746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The three working documents that turn "supervision happens" into supervision that can be evidenced: a standing one-to-one agenda, a documentation-review rubric, and a monthly case-sampling schedule.</w:t>
            </w:r>
          </w:p>
        </w:tc>
      </w:tr>
      <w:tr>
        <w:tc>
          <w:tcPr>
            <w:tcW w:type="dxa" w:w="1900"/>
            <w:shd w:fill="EEF3F4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0F3D4C"/>
                <w:sz w:val="17"/>
                <w:szCs w:val="17"/>
              </w:rPr>
              <w:t xml:space="preserve">It assumes</w:t>
            </w:r>
          </w:p>
        </w:tc>
        <w:tc>
          <w:tcPr>
            <w:tcW w:type="dxa" w:w="746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Case-carrying staff supervised by a named supervisor on a regular cadence, in a setting where the work is documented in client or case records.</w:t>
            </w:r>
          </w:p>
        </w:tc>
      </w:tr>
      <w:tr>
        <w:tc>
          <w:tcPr>
            <w:tcW w:type="dxa" w:w="1900"/>
            <w:shd w:fill="EEF3F4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0F3D4C"/>
                <w:sz w:val="17"/>
                <w:szCs w:val="17"/>
              </w:rPr>
              <w:t xml:space="preserve">Change before use</w:t>
            </w:r>
          </w:p>
        </w:tc>
        <w:tc>
          <w:tcPr>
            <w:tcW w:type="dxa" w:w="746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The cadence, the sample sizes, and the rubric criteria marked [adjust] — each must match your own licensing standards, contract terms, and practice model.</w:t>
            </w:r>
          </w:p>
        </w:tc>
      </w:tr>
    </w:tbl>
    <w:p>
      <w:pPr>
        <w:spacing w:after="200" w:before="0" w:line="276"/>
      </w:pPr>
    </w:p>
    <w:p>
      <w:pPr>
        <w:spacing w:after="60" w:before="0" w:line="276"/>
      </w:pPr>
    </w:p>
    <w:tbl>
      <w:tblPr>
        <w:tblW w:type="dxa" w:w="9360"/>
        <w:tblBorders>
          <w:top w:val="single" w:color="E0C9B4" w:sz="4"/>
          <w:left w:val="single" w:color="A65C22" w:sz="24"/>
          <w:bottom w:val="single" w:color="E0C9B4" w:sz="4"/>
          <w:right w:val="single" w:color="E0C9B4" w:sz="4"/>
          <w:insideH w:val="none" w:color="FFFFFF" w:sz="0"/>
          <w:insideV w:val="none" w:color="FFFFFF" w:sz="0"/>
        </w:tblBorders>
      </w:tblPr>
      <w:tblGrid>
        <w:gridCol w:w="9360"/>
      </w:tblGrid>
      <w:tr>
        <w:tc>
          <w:tcPr>
            <w:tcW w:type="dxa" w:w="9360"/>
            <w:shd w:fill="FBF3EC" w:val="clear"/>
            <w:tcMar>
              <w:top w:type="dxa" w:w="140"/>
              <w:left w:type="dxa" w:w="200"/>
              <w:bottom w:type="dxa" w:w="140"/>
              <w:right w:type="dxa" w:w="180"/>
            </w:tcMar>
          </w:tcPr>
          <w:p>
            <w:pPr>
              <w:spacing w:after="90" w:line="276"/>
            </w:pPr>
            <w:r>
              <w:rPr>
                <w:rFonts w:ascii="Calibri" w:cs="Calibri" w:eastAsia="Calibri" w:hAnsi="Calibri"/>
                <w:b/>
                <w:bCs/>
                <w:color w:val="A65C22"/>
                <w:sz w:val="17"/>
                <w:szCs w:val="17"/>
              </w:rPr>
              <w:t xml:space="preserve">THE THREE DOCUMENTS ARE A SPREADSHEET — USE THAT, NOT THIS</w:t>
            </w:r>
          </w:p>
          <w:p>
            <w:pPr>
              <w:spacing w:after="120" w:line="276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This document explains what each of the three documents is for and how to run it. </w:t>
            </w: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The documents themselves are the accompanying spreadsheet</w:t>
            </w:r>
            <w:r>
              <w:rPr>
                <w:rFonts w:ascii="Calibri" w:cs="Calibri" w:eastAsia="Calibri" w:hAnsi="Calibri"/>
                <w:sz w:val="21"/>
                <w:szCs w:val="21"/>
              </w:rPr>
              <w:t xml:space="preserve">, which has the session record with the standing agenda already laid out, the documentation review rubric as a row per record with the six criteria as scored columns, the monthly sampling schedule, and an action log that carries between sessions.</w:t>
            </w:r>
          </w:p>
          <w:p>
            <w:pPr>
              <w:spacing w:after="0" w:line="276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Read this once. Work in the spreadsheet.</w:t>
            </w:r>
          </w:p>
        </w:tc>
      </w:tr>
    </w:tbl>
    <w:p>
      <w:pPr>
        <w:spacing w:after="100" w:before="0" w:line="276"/>
      </w:pPr>
    </w:p>
    <w:p>
      <w:pPr>
        <w:pStyle w:val="Heading1"/>
        <w:pBdr>
          <w:bottom w:val="single" w:color="C9D6D9" w:sz="8" w:space="6"/>
        </w:pBdr>
        <w:spacing w:after="180" w:before="400"/>
      </w:pPr>
      <w:r>
        <w:rPr>
          <w:rFonts w:ascii="Calibri" w:cs="Calibri" w:eastAsia="Calibri" w:hAnsi="Calibri"/>
          <w:b/>
          <w:bCs/>
          <w:color w:val="0F3D4C"/>
          <w:sz w:val="30"/>
          <w:szCs w:val="30"/>
        </w:rPr>
        <w:t xml:space="preserve">What this kit is for</w:t>
      </w:r>
    </w:p>
    <w:p>
      <w:pPr>
        <w:spacing w:after="140" w:before="0" w:line="276"/>
      </w:pPr>
      <w:r>
        <w:rPr>
          <w:rFonts w:ascii="Calibri" w:cs="Calibri" w:eastAsia="Calibri" w:hAnsi="Calibri"/>
          <w:sz w:val="21"/>
          <w:szCs w:val="21"/>
        </w:rPr>
        <w:t xml:space="preserve">Nearly every human-services organization can say supervision happens. Far fewer can show what it consists of, that it reaches every worker on a schedule, or that anyone systematically looks at the documentation the organization will one day be judged by. The gap shows up in the same three places: a licensing analyst asks for supervision records and receives calendar entries; a case record surfaces in a complaint or a court proceeding and nobody had read it since it was written; a worker struggles for months before the pattern becomes visible, because each conversation started from scratch.</w:t>
      </w:r>
    </w:p>
    <w:p>
      <w:pPr>
        <w:spacing w:after="140" w:before="0" w:line="276"/>
      </w:pPr>
      <w:r>
        <w:rPr>
          <w:rFonts w:ascii="Calibri" w:cs="Calibri" w:eastAsia="Calibri" w:hAnsi="Calibri"/>
          <w:sz w:val="21"/>
          <w:szCs w:val="21"/>
        </w:rPr>
        <w:t xml:space="preserve">The three documents in this kit close that gap without adding a system. Each is a page or two, used as-is on paper or pasted into whatever you already use. Together they produce a record: what supervision covered, what the documentation review found, and proof that the looking was systematic rather than occasional.</w:t>
      </w:r>
    </w:p>
    <w:p>
      <w:pPr>
        <w:spacing w:after="60" w:before="0" w:line="276"/>
      </w:pPr>
    </w:p>
    <w:tbl>
      <w:tblPr>
        <w:tblW w:type="dxa" w:w="9360"/>
        <w:tblBorders>
          <w:top w:val="single" w:color="E0C9B4" w:sz="4"/>
          <w:left w:val="single" w:color="A65C22" w:sz="24"/>
          <w:bottom w:val="single" w:color="E0C9B4" w:sz="4"/>
          <w:right w:val="single" w:color="E0C9B4" w:sz="4"/>
          <w:insideH w:val="none" w:color="FFFFFF" w:sz="0"/>
          <w:insideV w:val="none" w:color="FFFFFF" w:sz="0"/>
        </w:tblBorders>
      </w:tblPr>
      <w:tblGrid>
        <w:gridCol w:w="9360"/>
      </w:tblGrid>
      <w:tr>
        <w:tc>
          <w:tcPr>
            <w:tcW w:type="dxa" w:w="9360"/>
            <w:shd w:fill="FBF3EC" w:val="clear"/>
            <w:tcMar>
              <w:top w:type="dxa" w:w="140"/>
              <w:left w:type="dxa" w:w="200"/>
              <w:bottom w:type="dxa" w:w="140"/>
              <w:right w:type="dxa" w:w="180"/>
            </w:tcMar>
          </w:tcPr>
          <w:p>
            <w:pPr>
              <w:spacing w:after="90" w:line="276"/>
            </w:pPr>
            <w:r>
              <w:rPr>
                <w:rFonts w:ascii="Calibri" w:cs="Calibri" w:eastAsia="Calibri" w:hAnsi="Calibri"/>
                <w:b/>
                <w:bCs/>
                <w:color w:val="A65C22"/>
                <w:sz w:val="17"/>
                <w:szCs w:val="17"/>
              </w:rPr>
              <w:t xml:space="preserve">WHAT THIS KIT DELIBERATELY IS NOT</w:t>
            </w:r>
          </w:p>
          <w:p>
            <w:pPr>
              <w:spacing w:after="0" w:line="276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It is not a performance-evaluation instrument, a clinical supervision model, or a substitute for the supervision standards in your license or contracts. It is the working paper layer underneath those things — the part that makes them evidenceable. Check the cadence and sample sizes against your own requirements before adopting; where a licensing standard is stricter than a default here, the standard wins.</w:t>
            </w:r>
          </w:p>
        </w:tc>
      </w:tr>
    </w:tbl>
    <w:p>
      <w:pPr>
        <w:spacing w:after="100" w:before="0" w:line="276"/>
      </w:pPr>
    </w:p>
    <w:p>
      <w:r>
        <w:br w:type="page"/>
      </w:r>
    </w:p>
    <w:p>
      <w:pPr>
        <w:pStyle w:val="Heading1"/>
        <w:pBdr>
          <w:bottom w:val="single" w:color="C9D6D9" w:sz="8" w:space="6"/>
        </w:pBdr>
        <w:spacing w:after="180" w:before="400"/>
      </w:pPr>
      <w:r>
        <w:rPr>
          <w:rFonts w:ascii="Calibri" w:cs="Calibri" w:eastAsia="Calibri" w:hAnsi="Calibri"/>
          <w:b/>
          <w:bCs/>
          <w:color w:val="0F3D4C"/>
          <w:sz w:val="30"/>
          <w:szCs w:val="30"/>
        </w:rPr>
        <w:t xml:space="preserve">Part one — the standing supervision agenda</w:t>
      </w:r>
    </w:p>
    <w:p>
      <w:pPr>
        <w:spacing w:after="140" w:before="0" w:line="276"/>
      </w:pPr>
      <w:r>
        <w:rPr>
          <w:rFonts w:ascii="Calibri" w:cs="Calibri" w:eastAsia="Calibri" w:hAnsi="Calibri"/>
          <w:sz w:val="21"/>
          <w:szCs w:val="21"/>
        </w:rPr>
        <w:t xml:space="preserve">One page per worker per session. The power of a standing agenda is not the topics — it is that the same topics recur, so drift becomes visible across sessions and nothing depends on either person’s memory. Sections 1, 5, and 6 are the ones most often missing from supervision that otherwise works.</w:t>
      </w:r>
    </w:p>
    <w:tbl>
      <w:tblPr>
        <w:tblW w:type="dxa" w:w="9360"/>
        <w:tblBorders>
          <w:top w:val="single" w:color="C9D6D9" w:sz="6"/>
          <w:left w:val="single" w:color="C9D6D9" w:sz="6"/>
          <w:bottom w:val="single" w:color="C9D6D9" w:sz="6"/>
          <w:right w:val="single" w:color="C9D6D9" w:sz="6"/>
          <w:insideH w:val="single" w:color="C9D6D9" w:sz="4"/>
          <w:insideV w:val="single" w:color="C9D6D9" w:sz="4"/>
        </w:tblBorders>
      </w:tblPr>
      <w:tblGrid>
        <w:gridCol w:w="1310"/>
        <w:gridCol w:w="5148"/>
        <w:gridCol w:w="2902"/>
      </w:tblGrid>
      <w:tr>
        <w:trPr>
          <w:tblHeader/>
        </w:trPr>
        <w:tc>
          <w:tcPr>
            <w:tcW w:type="dxa" w:w="1310"/>
            <w:shd w:fill="0F3D4C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Section</w:t>
            </w:r>
          </w:p>
        </w:tc>
        <w:tc>
          <w:tcPr>
            <w:tcW w:type="dxa" w:w="5148"/>
            <w:shd w:fill="0F3D4C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What it covers</w:t>
            </w:r>
          </w:p>
        </w:tc>
        <w:tc>
          <w:tcPr>
            <w:tcW w:type="dxa" w:w="2902"/>
            <w:shd w:fill="0F3D4C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Prompted by</w:t>
            </w:r>
          </w:p>
        </w:tc>
      </w:tr>
      <w:tr>
        <w:tc>
          <w:tcPr>
            <w:tcW w:type="dxa" w:w="131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1 · Follow-through</w:t>
            </w:r>
          </w:p>
        </w:tc>
        <w:tc>
          <w:tcPr>
            <w:tcW w:type="dxa" w:w="5148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Every action item from the last session, read back one by one: done, in motion, or renegotiated with a new date. Nothing silently disappears.</w:t>
            </w:r>
          </w:p>
        </w:tc>
        <w:tc>
          <w:tcPr>
            <w:tcW w:type="dxa" w:w="2902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The previous session’s sheet — which is why the sheet files.</w:t>
            </w:r>
          </w:p>
        </w:tc>
      </w:tr>
      <w:tr>
        <w:tc>
          <w:tcPr>
            <w:tcW w:type="dxa" w:w="1310"/>
            <w:shd w:fill="EEF3F4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2 · The caseload, by exception</w:t>
            </w:r>
          </w:p>
        </w:tc>
        <w:tc>
          <w:tcPr>
            <w:tcW w:type="dxa" w:w="5148"/>
            <w:shd w:fill="EEF3F4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Not every case — the exceptions: new assignments, approaching deadlines, cases in crisis, cases with no contact in [30 · adjust] days, cases the worker is avoiding. The worker nominates; the supervisor adds from the sampling schedule (part three).</w:t>
            </w:r>
          </w:p>
        </w:tc>
        <w:tc>
          <w:tcPr>
            <w:tcW w:type="dxa" w:w="2902"/>
            <w:shd w:fill="EEF3F4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The worker’s current case list, brought to the session.</w:t>
            </w:r>
          </w:p>
        </w:tc>
      </w:tr>
      <w:tr>
        <w:tc>
          <w:tcPr>
            <w:tcW w:type="dxa" w:w="131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3 · Decisions needed</w:t>
            </w:r>
          </w:p>
        </w:tc>
        <w:tc>
          <w:tcPr>
            <w:tcW w:type="dxa" w:w="5148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Anything the worker cannot decide alone: approvals, exceptions, escalations, resource requests. Each leaves the session decided, or with a named decider and a date.</w:t>
            </w:r>
          </w:p>
        </w:tc>
        <w:tc>
          <w:tcPr>
            <w:tcW w:type="dxa" w:w="2902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The worker.</w:t>
            </w:r>
          </w:p>
        </w:tc>
      </w:tr>
      <w:tr>
        <w:tc>
          <w:tcPr>
            <w:tcW w:type="dxa" w:w="1310"/>
            <w:shd w:fill="EEF3F4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4 · Workload and coverage</w:t>
            </w:r>
          </w:p>
        </w:tc>
        <w:tc>
          <w:tcPr>
            <w:tcW w:type="dxa" w:w="5148"/>
            <w:shd w:fill="EEF3F4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Caseload count against the ceiling; hours reality against the plan; upcoming leave and who covers. Once a quarter, run the numbers rather than impressions.</w:t>
            </w:r>
          </w:p>
        </w:tc>
        <w:tc>
          <w:tcPr>
            <w:tcW w:type="dxa" w:w="2902"/>
            <w:shd w:fill="EEF3F4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Caseload figures — a caseload stress-test sheet if you use one.</w:t>
            </w:r>
          </w:p>
        </w:tc>
      </w:tr>
      <w:tr>
        <w:tc>
          <w:tcPr>
            <w:tcW w:type="dxa" w:w="131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5 · Wellbeing, asked directly</w:t>
            </w:r>
          </w:p>
        </w:tc>
        <w:tc>
          <w:tcPr>
            <w:tcW w:type="dxa" w:w="5148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Not "how are you" in passing. One direct question in a settled moment: what is the hardest thing you are carrying right now? Secondary trauma accumulates quietly, and the standing agenda is what keeps the question from requiring an occasion.</w:t>
            </w:r>
          </w:p>
        </w:tc>
        <w:tc>
          <w:tcPr>
            <w:tcW w:type="dxa" w:w="2902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The supervisor, every session, no exceptions.</w:t>
            </w:r>
          </w:p>
        </w:tc>
      </w:tr>
      <w:tr>
        <w:tc>
          <w:tcPr>
            <w:tcW w:type="dxa" w:w="1310"/>
            <w:shd w:fill="EEF3F4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6 · Development</w:t>
            </w:r>
          </w:p>
        </w:tc>
        <w:tc>
          <w:tcPr>
            <w:tcW w:type="dxa" w:w="5148"/>
            <w:shd w:fill="EEF3F4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One skill or experience being built this quarter, and the concrete step since last session. Training-hour progress against the annual requirement, so December is not a surprise.</w:t>
            </w:r>
          </w:p>
        </w:tc>
        <w:tc>
          <w:tcPr>
            <w:tcW w:type="dxa" w:w="2902"/>
            <w:shd w:fill="EEF3F4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The development note started at the worker’s last review.</w:t>
            </w:r>
          </w:p>
        </w:tc>
      </w:tr>
      <w:tr>
        <w:tc>
          <w:tcPr>
            <w:tcW w:type="dxa" w:w="131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7 · Actions recorded</w:t>
            </w:r>
          </w:p>
        </w:tc>
        <w:tc>
          <w:tcPr>
            <w:tcW w:type="dxa" w:w="5148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Who does what by when — both directions, the supervisor’s commitments included. Signed or initialed by both, filed in the supervision file.</w:t>
            </w:r>
          </w:p>
        </w:tc>
        <w:tc>
          <w:tcPr>
            <w:tcW w:type="dxa" w:w="2902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The session itself.</w:t>
            </w:r>
          </w:p>
        </w:tc>
      </w:tr>
    </w:tbl>
    <w:p>
      <w:pPr>
        <w:spacing w:after="160" w:before="0" w:line="276"/>
      </w:pPr>
    </w:p>
    <w:p>
      <w:pPr>
        <w:pStyle w:val="Heading3"/>
        <w:spacing w:after="100" w:before="240"/>
      </w:pPr>
      <w:r>
        <w:rPr>
          <w:rFonts w:ascii="Calibri" w:cs="Calibri" w:eastAsia="Calibri" w:hAnsi="Calibri"/>
          <w:b/>
          <w:bCs/>
          <w:color w:val="0F3D4C"/>
          <w:sz w:val="22"/>
          <w:szCs w:val="22"/>
        </w:rPr>
        <w:t xml:space="preserve">The record it produces</w:t>
      </w:r>
    </w:p>
    <w:p>
      <w:pPr>
        <w:spacing w:after="140" w:before="0" w:line="276"/>
      </w:pPr>
      <w:r>
        <w:rPr>
          <w:rFonts w:ascii="Calibri" w:cs="Calibri" w:eastAsia="Calibri" w:hAnsi="Calibri"/>
          <w:sz w:val="21"/>
          <w:szCs w:val="21"/>
        </w:rPr>
        <w:t xml:space="preserve">Date, names, the exception cases discussed by identifier, decisions made, and the action list, on one sheet. Filed per worker, the sheets are the supervision record a reviewer asks for — and section 1 makes each sheet enforce the one before it. A missed session leaves a gap in a numbered sequence, which is exactly the honesty the record needs: reschedule it, do not backfill it.</w:t>
      </w:r>
    </w:p>
    <w:p>
      <w:r>
        <w:br w:type="page"/>
      </w:r>
    </w:p>
    <w:p>
      <w:pPr>
        <w:pStyle w:val="Heading1"/>
        <w:pBdr>
          <w:bottom w:val="single" w:color="C9D6D9" w:sz="8" w:space="6"/>
        </w:pBdr>
        <w:spacing w:after="180" w:before="400"/>
      </w:pPr>
      <w:r>
        <w:rPr>
          <w:rFonts w:ascii="Calibri" w:cs="Calibri" w:eastAsia="Calibri" w:hAnsi="Calibri"/>
          <w:b/>
          <w:bCs/>
          <w:color w:val="0F3D4C"/>
          <w:sz w:val="30"/>
          <w:szCs w:val="30"/>
        </w:rPr>
        <w:t xml:space="preserve">Part two — the documentation-review rubric</w:t>
      </w:r>
    </w:p>
    <w:p>
      <w:pPr>
        <w:spacing w:after="140" w:before="0" w:line="276"/>
      </w:pPr>
      <w:r>
        <w:rPr>
          <w:rFonts w:ascii="Calibri" w:cs="Calibri" w:eastAsia="Calibri" w:hAnsi="Calibri"/>
          <w:sz w:val="21"/>
          <w:szCs w:val="21"/>
        </w:rPr>
        <w:t xml:space="preserve">The rubric makes case-record review consistent across supervisors and workers, and it separates two questions that get blurred in casual review: was the work done, and does the record show it? A reviewer sampling your files years from now has only the record. The rubric scores each sampled case entry on six criteria, each rated met / partial / not met, with a note for anything below met.</w:t>
      </w:r>
    </w:p>
    <w:tbl>
      <w:tblPr>
        <w:tblW w:type="dxa" w:w="9360"/>
        <w:tblBorders>
          <w:top w:val="single" w:color="C9D6D9" w:sz="6"/>
          <w:left w:val="single" w:color="C9D6D9" w:sz="6"/>
          <w:bottom w:val="single" w:color="C9D6D9" w:sz="6"/>
          <w:right w:val="single" w:color="C9D6D9" w:sz="6"/>
          <w:insideH w:val="single" w:color="C9D6D9" w:sz="4"/>
          <w:insideV w:val="single" w:color="C9D6D9" w:sz="4"/>
        </w:tblBorders>
      </w:tblPr>
      <w:tblGrid>
        <w:gridCol w:w="2059"/>
        <w:gridCol w:w="7301"/>
      </w:tblGrid>
      <w:tr>
        <w:trPr>
          <w:tblHeader/>
        </w:trPr>
        <w:tc>
          <w:tcPr>
            <w:tcW w:type="dxa" w:w="2059"/>
            <w:shd w:fill="0F3D4C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Criterion</w:t>
            </w:r>
          </w:p>
        </w:tc>
        <w:tc>
          <w:tcPr>
            <w:tcW w:type="dxa" w:w="7301"/>
            <w:shd w:fill="0F3D4C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Met looks like</w:t>
            </w:r>
          </w:p>
        </w:tc>
      </w:tr>
      <w:tr>
        <w:tc>
          <w:tcPr>
            <w:tcW w:type="dxa" w:w="2059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Timeliness</w:t>
            </w:r>
          </w:p>
        </w:tc>
        <w:tc>
          <w:tcPr>
            <w:tcW w:type="dxa" w:w="7301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The entry was made within [X business days · adjust to your standard] of the contact or event it records. The entry date and the event date are both visible, so lateness is self-declaring rather than hidden.</w:t>
            </w:r>
          </w:p>
        </w:tc>
      </w:tr>
      <w:tr>
        <w:tc>
          <w:tcPr>
            <w:tcW w:type="dxa" w:w="2059"/>
            <w:shd w:fill="EEF3F4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Completeness</w:t>
            </w:r>
          </w:p>
        </w:tc>
        <w:tc>
          <w:tcPr>
            <w:tcW w:type="dxa" w:w="7301"/>
            <w:shd w:fill="EEF3F4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Every required element for this entry type is present — for a visit: date, location, who was present, what was observed, safety or wellbeing assessment where required, and next steps. Your license or contract defines the list; the rubric holds it steady.</w:t>
            </w:r>
          </w:p>
        </w:tc>
      </w:tr>
      <w:tr>
        <w:tc>
          <w:tcPr>
            <w:tcW w:type="dxa" w:w="2059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Accuracy and specificity</w:t>
            </w:r>
          </w:p>
        </w:tc>
        <w:tc>
          <w:tcPr>
            <w:tcW w:type="dxa" w:w="7301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Concrete and observable, not conclusory. "The home was appropriate" is a conclusion; what was seen, heard, and checked is a record. Names, dates, and figures match the rest of the file.</w:t>
            </w:r>
          </w:p>
        </w:tc>
      </w:tr>
      <w:tr>
        <w:tc>
          <w:tcPr>
            <w:tcW w:type="dxa" w:w="2059"/>
            <w:shd w:fill="EEF3F4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Required actions evidenced</w:t>
            </w:r>
          </w:p>
        </w:tc>
        <w:tc>
          <w:tcPr>
            <w:tcW w:type="dxa" w:w="7301"/>
            <w:shd w:fill="EEF3F4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Anything the standard requires for this case type at this point — the monthly contact, the assessment due, the plan review — is either present or has a documented reason and a new date. Absence with silence is the finding a reviewer writes up.</w:t>
            </w:r>
          </w:p>
        </w:tc>
      </w:tr>
      <w:tr>
        <w:tc>
          <w:tcPr>
            <w:tcW w:type="dxa" w:w="2059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Follow-through</w:t>
            </w:r>
          </w:p>
        </w:tc>
        <w:tc>
          <w:tcPr>
            <w:tcW w:type="dxa" w:w="7301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The next steps recorded in the previous entry are addressed in this one: done, attempted, or renegotiated. A file of entries that never reference each other is activity, not casework.</w:t>
            </w:r>
          </w:p>
        </w:tc>
      </w:tr>
      <w:tr>
        <w:tc>
          <w:tcPr>
            <w:tcW w:type="dxa" w:w="2059"/>
            <w:shd w:fill="EEF3F4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Professional tone</w:t>
            </w:r>
          </w:p>
        </w:tc>
        <w:tc>
          <w:tcPr>
            <w:tcW w:type="dxa" w:w="7301"/>
            <w:shd w:fill="EEF3F4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Written knowing the client, a judge, or an auditor may one day read it. Respectful language, facts distinguished from impressions, nothing that would embarrass the organization read aloud.</w:t>
            </w:r>
          </w:p>
        </w:tc>
      </w:tr>
    </w:tbl>
    <w:p>
      <w:pPr>
        <w:spacing w:after="160" w:before="0" w:line="276"/>
      </w:pPr>
    </w:p>
    <w:p>
      <w:pPr>
        <w:pStyle w:val="Heading3"/>
        <w:spacing w:after="100" w:before="240"/>
      </w:pPr>
      <w:r>
        <w:rPr>
          <w:rFonts w:ascii="Calibri" w:cs="Calibri" w:eastAsia="Calibri" w:hAnsi="Calibri"/>
          <w:b/>
          <w:bCs/>
          <w:color w:val="0F3D4C"/>
          <w:sz w:val="22"/>
          <w:szCs w:val="22"/>
        </w:rPr>
        <w:t xml:space="preserve">Using the scores</w:t>
      </w:r>
    </w:p>
    <w:p>
      <w:pPr>
        <w:spacing w:after="140" w:before="0" w:line="276"/>
      </w:pPr>
      <w:r>
        <w:rPr>
          <w:rFonts w:ascii="Calibri" w:cs="Calibri" w:eastAsia="Calibri" w:hAnsi="Calibri"/>
          <w:sz w:val="21"/>
          <w:szCs w:val="21"/>
        </w:rPr>
        <w:t xml:space="preserve">A single partial is coaching material for section 2 of the next supervision session. A pattern — the same criterion partial across workers, or one worker drifting across criteria — is management information: a training need, a caseload problem, or a form that makes good documentation hard. Score patterns by criterion once a quarter and give the summary a place in your quality-improvement cycle. The point of the rubric is never the grade; it is that the organization reads its own records before someone else does.</w:t>
      </w:r>
    </w:p>
    <w:p>
      <w:r>
        <w:br w:type="page"/>
      </w:r>
    </w:p>
    <w:p>
      <w:pPr>
        <w:pStyle w:val="Heading1"/>
        <w:pBdr>
          <w:bottom w:val="single" w:color="C9D6D9" w:sz="8" w:space="6"/>
        </w:pBdr>
        <w:spacing w:after="180" w:before="400"/>
      </w:pPr>
      <w:r>
        <w:rPr>
          <w:rFonts w:ascii="Calibri" w:cs="Calibri" w:eastAsia="Calibri" w:hAnsi="Calibri"/>
          <w:b/>
          <w:bCs/>
          <w:color w:val="0F3D4C"/>
          <w:sz w:val="30"/>
          <w:szCs w:val="30"/>
        </w:rPr>
        <w:t xml:space="preserve">Part three — the monthly sampling schedule</w:t>
      </w:r>
    </w:p>
    <w:p>
      <w:pPr>
        <w:spacing w:after="140" w:before="0" w:line="276"/>
      </w:pPr>
      <w:r>
        <w:rPr>
          <w:rFonts w:ascii="Calibri" w:cs="Calibri" w:eastAsia="Calibri" w:hAnsi="Calibri"/>
          <w:sz w:val="21"/>
          <w:szCs w:val="21"/>
        </w:rPr>
        <w:t xml:space="preserve">Reviewing everything is impossible and reviewing nothing is indefensible, so the defensible position is a sample that is systematic, documented, and biased deliberately toward risk. The schedule below is a starting point — set the numbers to your own volume and requirements, then hold them steady, because a sample size that changes when things get busy is not a system.</w:t>
      </w:r>
    </w:p>
    <w:tbl>
      <w:tblPr>
        <w:tblW w:type="dxa" w:w="9360"/>
        <w:tblBorders>
          <w:top w:val="single" w:color="C9D6D9" w:sz="6"/>
          <w:left w:val="single" w:color="C9D6D9" w:sz="6"/>
          <w:bottom w:val="single" w:color="C9D6D9" w:sz="6"/>
          <w:right w:val="single" w:color="C9D6D9" w:sz="6"/>
          <w:insideH w:val="single" w:color="C9D6D9" w:sz="4"/>
          <w:insideV w:val="single" w:color="C9D6D9" w:sz="4"/>
        </w:tblBorders>
      </w:tblPr>
      <w:tblGrid>
        <w:gridCol w:w="2714"/>
        <w:gridCol w:w="1498"/>
        <w:gridCol w:w="5148"/>
      </w:tblGrid>
      <w:tr>
        <w:trPr>
          <w:tblHeader/>
        </w:trPr>
        <w:tc>
          <w:tcPr>
            <w:tcW w:type="dxa" w:w="2714"/>
            <w:shd w:fill="0F3D4C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Each month, per supervisor</w:t>
            </w:r>
          </w:p>
        </w:tc>
        <w:tc>
          <w:tcPr>
            <w:tcW w:type="dxa" w:w="1498"/>
            <w:shd w:fill="0F3D4C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Default</w:t>
            </w:r>
          </w:p>
        </w:tc>
        <w:tc>
          <w:tcPr>
            <w:tcW w:type="dxa" w:w="5148"/>
            <w:shd w:fill="0F3D4C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Why this slice</w:t>
            </w:r>
          </w:p>
        </w:tc>
      </w:tr>
      <w:tr>
        <w:tc>
          <w:tcPr>
            <w:tcW w:type="dxa" w:w="2714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Random cases per worker</w:t>
            </w:r>
          </w:p>
        </w:tc>
        <w:tc>
          <w:tcPr>
            <w:tcW w:type="dxa" w:w="1498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[2 · adjust]</w:t>
            </w:r>
          </w:p>
        </w:tc>
        <w:tc>
          <w:tcPr>
            <w:tcW w:type="dxa" w:w="5148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Drawn by anything arbitrary — every nth case on the alphabetical list, rotating. Randomness is what makes the sample mean something: workers cannot polish for it, and reviewers recognize it as a control.</w:t>
            </w:r>
          </w:p>
        </w:tc>
      </w:tr>
      <w:tr>
        <w:tc>
          <w:tcPr>
            <w:tcW w:type="dxa" w:w="2714"/>
            <w:shd w:fill="EEF3F4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New cases opened this month</w:t>
            </w:r>
          </w:p>
        </w:tc>
        <w:tc>
          <w:tcPr>
            <w:tcW w:type="dxa" w:w="1498"/>
            <w:shd w:fill="EEF3F4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[1 per worker]</w:t>
            </w:r>
          </w:p>
        </w:tc>
        <w:tc>
          <w:tcPr>
            <w:tcW w:type="dxa" w:w="5148"/>
            <w:shd w:fill="EEF3F4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The first weeks set the pattern for the file, and early omissions compound quietly.</w:t>
            </w:r>
          </w:p>
        </w:tc>
      </w:tr>
      <w:tr>
        <w:tc>
          <w:tcPr>
            <w:tcW w:type="dxa" w:w="2714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High-risk or high-acuity cases</w:t>
            </w:r>
          </w:p>
        </w:tc>
        <w:tc>
          <w:tcPr>
            <w:tcW w:type="dxa" w:w="1498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[1–2, standing]</w:t>
            </w:r>
          </w:p>
        </w:tc>
        <w:tc>
          <w:tcPr>
            <w:tcW w:type="dxa" w:w="5148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Cases flagged by your own criteria — recent incident, court involvement, new placement, complaint. These files are the likeliest to be read by someone else one day.</w:t>
            </w:r>
          </w:p>
        </w:tc>
      </w:tr>
      <w:tr>
        <w:tc>
          <w:tcPr>
            <w:tcW w:type="dxa" w:w="2714"/>
            <w:shd w:fill="EEF3F4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Dormant files</w:t>
            </w:r>
          </w:p>
        </w:tc>
        <w:tc>
          <w:tcPr>
            <w:tcW w:type="dxa" w:w="1498"/>
            <w:shd w:fill="EEF3F4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[1]</w:t>
            </w:r>
          </w:p>
        </w:tc>
        <w:tc>
          <w:tcPr>
            <w:tcW w:type="dxa" w:w="5148"/>
            <w:shd w:fill="EEF3F4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No entry in [30+ · adjust] days. Either the work stopped or the recording did; both need to surface.</w:t>
            </w:r>
          </w:p>
        </w:tc>
      </w:tr>
      <w:tr>
        <w:tc>
          <w:tcPr>
            <w:tcW w:type="dxa" w:w="2714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Follow-up from last month</w:t>
            </w:r>
          </w:p>
        </w:tc>
        <w:tc>
          <w:tcPr>
            <w:tcW w:type="dxa" w:w="1498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All below "met"</w:t>
            </w:r>
          </w:p>
        </w:tc>
        <w:tc>
          <w:tcPr>
            <w:tcW w:type="dxa" w:w="5148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60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Every entry scored partial or not met last month is re-checked. This is the loop that makes the rubric change practice instead of just describing it.</w:t>
            </w:r>
          </w:p>
        </w:tc>
      </w:tr>
    </w:tbl>
    <w:p>
      <w:pPr>
        <w:spacing w:after="160" w:before="0" w:line="276"/>
      </w:pPr>
    </w:p>
    <w:p>
      <w:pPr>
        <w:pStyle w:val="Heading3"/>
        <w:spacing w:after="100" w:before="240"/>
      </w:pPr>
      <w:r>
        <w:rPr>
          <w:rFonts w:ascii="Calibri" w:cs="Calibri" w:eastAsia="Calibri" w:hAnsi="Calibri"/>
          <w:b/>
          <w:bCs/>
          <w:color w:val="0F3D4C"/>
          <w:sz w:val="22"/>
          <w:szCs w:val="22"/>
        </w:rPr>
        <w:t xml:space="preserve">The log</w:t>
      </w:r>
    </w:p>
    <w:p>
      <w:pPr>
        <w:spacing w:after="140" w:before="0" w:line="276"/>
      </w:pPr>
      <w:r>
        <w:rPr>
          <w:rFonts w:ascii="Calibri" w:cs="Calibri" w:eastAsia="Calibri" w:hAnsi="Calibri"/>
          <w:sz w:val="21"/>
          <w:szCs w:val="21"/>
        </w:rPr>
        <w:t xml:space="preserve">One line per sampled case: month, worker, case identifier, entry type, rubric result, and the follow-up owed. Twelve months of that log is a document very few organizations can produce and every reviewer respects — proof that the organization inspects its own work on a schedule, finds things, and closes them. It is also, quietly, the fairest thing in this kit for workers: a systematic sample judges the system, where an occasional spot-check judges whoever happened to be caught by it.</w:t>
      </w:r>
    </w:p>
    <w:p>
      <w:pPr>
        <w:pStyle w:val="Heading1"/>
        <w:pBdr>
          <w:bottom w:val="single" w:color="C9D6D9" w:sz="8" w:space="6"/>
        </w:pBdr>
        <w:spacing w:after="180" w:before="400"/>
      </w:pPr>
      <w:r>
        <w:rPr>
          <w:rFonts w:ascii="Calibri" w:cs="Calibri" w:eastAsia="Calibri" w:hAnsi="Calibri"/>
          <w:b/>
          <w:bCs/>
          <w:color w:val="0F3D4C"/>
          <w:sz w:val="30"/>
          <w:szCs w:val="30"/>
        </w:rPr>
        <w:t xml:space="preserve">Putting the kit to work</w:t>
      </w:r>
    </w:p>
    <w:p>
      <w:pPr>
        <w:spacing w:after="140" w:before="0" w:line="276"/>
      </w:pPr>
      <w:r>
        <w:rPr>
          <w:rFonts w:ascii="Calibri" w:cs="Calibri" w:eastAsia="Calibri" w:hAnsi="Calibri"/>
          <w:sz w:val="21"/>
          <w:szCs w:val="21"/>
        </w:rPr>
        <w:t xml:space="preserve">Adopt it in this order: the sampling schedule first, because it feeds the other two; the rubric second, applied to the first month’s sample; the agenda third, with the sample results arriving into section 2. Within one quarter the three documents begin referencing each other, and that interlock — sample feeds rubric, rubric feeds supervision, supervision records follow-through — is what turns three pieces of paper into a supervision system. Set the sample sizes and timeliness standards against your license and contracts before first use, and date the version you adopt.</w:t>
      </w:r>
    </w:p>
    <w:p>
      <w:pPr>
        <w:pBdr>
          <w:top w:val="single" w:color="C9D6D9" w:sz="4" w:space="8"/>
        </w:pBdr>
        <w:spacing w:after="0" w:before="400"/>
      </w:pPr>
      <w:r>
        <w:rPr>
          <w:rFonts w:ascii="Calibri" w:cs="Calibri" w:eastAsia="Calibri" w:hAnsi="Calibri"/>
          <w:i/>
          <w:iCs/>
          <w:color w:val="55606B"/>
          <w:sz w:val="16"/>
          <w:szCs w:val="16"/>
        </w:rPr>
        <w:t xml:space="preserve">Published by The CARES Collaborative, a program of Knotts Family Services, Inc., for adaptation and use by charitable and community-serving organizations. No registration, no fee, no attribution required. This document is a working template, not legal, tax, or accounting advice — the requirements that apply to your organization are confirmed by your own counsel, auditor, and licensing authority. Version 1.0 · August 2026 · carescollaborative.org/open-shelf</w:t>
      </w:r>
    </w:p>
    <w:sectPr>
      <w:headerReference w:type="default" r:id="rId7"/>
      <w:footerReference w:type="default" r:id="rId8"/>
      <w:pgSz w:w="12240" w:h="15840" w:orient="portrait"/>
      <w:pgMar w:top="1000" w:right="1440" w:bottom="100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55606B"/>
        <w:sz w:val="14"/>
        <w:szCs w:val="14"/>
      </w:rPr>
      <w:t xml:space="preserve">The Supervisor’s Field Kit  ·  The Open Shelf  ·  page </w:t>
    </w:r>
    <w:r>
      <w:rPr>
        <w:rFonts w:ascii="Calibri" w:cs="Calibri" w:eastAsia="Calibri" w:hAnsi="Calibri"/>
        <w:color w:val="55606B"/>
        <w:sz w:val="14"/>
        <w:szCs w:val="14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rPr>
        <w:rFonts w:ascii="Calibri" w:cs="Calibri" w:eastAsia="Calibri" w:hAnsi="Calibri"/>
        <w:sz w:val="2"/>
        <w:szCs w:val="2"/>
      </w:rPr>
      <w:t xml:space="preserv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00"/>
      </w:pPr>
      <w:rPr>
        <w:color w:val="176B7A"/>
      </w:rPr>
    </w:lvl>
    <w:lvl w:ilvl="1" w15:tentative="1">
      <w:start w:val="1"/>
      <w:numFmt w:val="bullet"/>
      <w:lvlText w:val="◦"/>
      <w:lvlJc w:val="left"/>
      <w:pPr>
        <w:ind w:left="720" w:hanging="200"/>
      </w:pPr>
      <w:rPr>
        <w:color w:val="176B7A"/>
      </w:r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00" w:hanging="240"/>
      </w:pPr>
      <w:rPr>
        <w:b/>
        <w:bCs/>
        <w:color w:val="176B7A"/>
      </w:r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F2933"/>
        <w:sz w:val="21"/>
        <w:szCs w:val="21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Supervisor’s Field Kit — The Open Shelf</dc:title>
  <dc:creator>Knotts Family Services, Inc.</dc:creator>
  <cp:lastModifiedBy>Un-named</cp:lastModifiedBy>
  <cp:revision>1</cp:revision>
  <dcterms:created xsi:type="dcterms:W3CDTF">2026-09-01T20:41:23.088Z</dcterms:created>
  <dcterms:modified xsi:type="dcterms:W3CDTF">2026-09-01T20:41:23.088Z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