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A65C22" w:sz="10" w:space="8"/>
        </w:pBdr>
        <w:spacing w:after="0"/>
      </w:pPr>
      <w:r>
        <w:rPr>
          <w:rFonts w:ascii="Calibri" w:cs="Calibri" w:eastAsia="Calibri" w:hAnsi="Calibri"/>
          <w:b/>
          <w:bCs/>
          <w:color w:val="176B7A"/>
          <w:sz w:val="17"/>
          <w:szCs w:val="17"/>
        </w:rPr>
        <w:t xml:space="preserve">THE OPEN SHELF</w:t>
      </w:r>
      <w:r>
        <w:rPr>
          <w:rFonts w:ascii="Calibri" w:cs="Calibri" w:eastAsia="Calibri" w:hAnsi="Calibri"/>
          <w:color w:val="55606B"/>
          <w:sz w:val="17"/>
          <w:szCs w:val="17"/>
        </w:rPr>
        <w:t xml:space="preserve">   ·   The CARES Collaborative   ·   free to adapt and use</w:t>
      </w:r>
    </w:p>
    <w:p>
      <w:pPr>
        <w:spacing w:after="60" w:before="340"/>
      </w:pPr>
      <w:r>
        <w:rPr>
          <w:rFonts w:ascii="Calibri" w:cs="Calibri" w:eastAsia="Calibri" w:hAnsi="Calibri"/>
          <w:b/>
          <w:bCs/>
          <w:caps/>
          <w:color w:val="A65C22"/>
          <w:sz w:val="16"/>
          <w:szCs w:val="16"/>
        </w:rPr>
        <w:t xml:space="preserve">CHECKLIST</w:t>
      </w:r>
    </w:p>
    <w:p>
      <w:pPr>
        <w:spacing w:after="220"/>
      </w:pPr>
      <w:r>
        <w:rPr>
          <w:rFonts w:ascii="Calibri" w:cs="Calibri" w:eastAsia="Calibri" w:hAnsi="Calibri"/>
          <w:b/>
          <w:bCs/>
          <w:color w:val="0F3D4C"/>
          <w:sz w:val="40"/>
          <w:szCs w:val="40"/>
        </w:rPr>
        <w:t xml:space="preserve">The Underwriting File Checklist</w:t>
      </w:r>
    </w:p>
    <w:tbl>
      <w:tblPr>
        <w:tblW w:type="dxa" w:w="9360"/>
        <w:tblBorders>
          <w:top w:val="single" w:color="C9D6D9" w:sz="4"/>
          <w:left w:val="single" w:color="C9D6D9" w:sz="4"/>
          <w:bottom w:val="single" w:color="C9D6D9" w:sz="4"/>
          <w:right w:val="single" w:color="C9D6D9" w:sz="4"/>
          <w:insideH w:val="single" w:color="DFE7E8" w:sz="4"/>
          <w:insideV w:val="single" w:color="DFE7E8" w:sz="4"/>
        </w:tblBorders>
      </w:tblPr>
      <w:tblGrid>
        <w:gridCol w:w="1900"/>
        <w:gridCol w:w="7460"/>
      </w:tblGrid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What this is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What a complete insurance submission contains — application data, exposure schedules, the policies a carrier will ask for, training evidence, and the loss-mitigation narrative that explains what changed after each claim.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It assumes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 liability renewal, and a broker who will use what you prepare.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Change before use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Lines of coverage, and anything your broker asks for that is not listed.</w:t>
            </w:r>
          </w:p>
        </w:tc>
      </w:tr>
    </w:tbl>
    <w:p>
      <w:pPr>
        <w:spacing w:after="200" w:before="0" w:line="276"/>
      </w:pPr>
    </w:p>
    <w:p>
      <w:pPr>
        <w:spacing w:after="60" w:before="0" w:line="276"/>
      </w:pPr>
    </w:p>
    <w:tbl>
      <w:tblPr>
        <w:tblW w:type="dxa" w:w="9360"/>
        <w:tblBorders>
          <w:top w:val="single" w:color="E0C9B4" w:sz="4"/>
          <w:left w:val="single" w:color="A65C22" w:sz="24"/>
          <w:bottom w:val="single" w:color="E0C9B4" w:sz="4"/>
          <w:right w:val="single" w:color="E0C9B4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FBF3EC" w:val="clear"/>
            <w:tcMar>
              <w:top w:type="dxa" w:w="140"/>
              <w:left w:type="dxa" w:w="200"/>
              <w:bottom w:type="dxa" w:w="140"/>
              <w:right w:type="dxa" w:w="180"/>
            </w:tcMar>
          </w:tcPr>
          <w:p>
            <w:pPr>
              <w:spacing w:after="90" w:line="276"/>
            </w:pPr>
            <w:r>
              <w:rPr>
                <w:rFonts w:ascii="Calibri" w:cs="Calibri" w:eastAsia="Calibri" w:hAnsi="Calibri"/>
                <w:b/>
                <w:bCs/>
                <w:color w:val="A65C22"/>
                <w:sz w:val="17"/>
                <w:szCs w:val="17"/>
              </w:rPr>
              <w:t xml:space="preserve">THE FILE IS ASSEMBLED IN THE SPREADSHEET</w:t>
            </w:r>
          </w:p>
          <w:p>
            <w:pPr>
              <w:spacing w:after="12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This document explains how an underwriter reads you. </w:t>
            </w: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The file is the accompanying spreadsheet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 — every section with present, current-as-of, and a named owner; the renewal calendar computed from your expiry date; and the loss-mitigation narrative as one row per claim.</w:t>
            </w:r>
          </w:p>
          <w:p>
            <w:pPr>
              <w:spacing w:after="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Preparing the file is your work. Presenting it to markets is your licensed broker's.</w:t>
            </w:r>
          </w:p>
        </w:tc>
      </w:tr>
    </w:tbl>
    <w:p>
      <w:pPr>
        <w:spacing w:after="100" w:before="0" w:line="276"/>
      </w:pP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How underwriting actually reads you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In a contracting market, an underwriter with limited capacity is choosing which risks to write. A late, thin submission reads as a poorly run organization — and is priced accordingly or declined. A complete, current, consistently presented file with a mitigation narrative reads as a managed risk. The file below is assembled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before</w:t>
      </w:r>
      <w:r>
        <w:rPr>
          <w:rFonts w:ascii="Calibri" w:cs="Calibri" w:eastAsia="Calibri" w:hAnsi="Calibri"/>
          <w:sz w:val="21"/>
          <w:szCs w:val="21"/>
        </w:rPr>
        <w:t xml:space="preserve"> the renewal window opens, owned by a named person, and refreshed annually. Preparing it is your work; presenting it to markets is your licensed broker’s.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calendar</w:t>
      </w:r>
    </w:p>
    <w:tbl>
      <w:tblPr>
        <w:tblW w:type="dxa" w:w="9360"/>
        <w:tblBorders>
          <w:top w:val="single" w:color="C9D6D9" w:sz="6"/>
          <w:left w:val="single" w:color="C9D6D9" w:sz="6"/>
          <w:bottom w:val="single" w:color="C9D6D9" w:sz="6"/>
          <w:right w:val="single" w:color="C9D6D9" w:sz="6"/>
          <w:insideH w:val="single" w:color="C9D6D9" w:sz="4"/>
          <w:insideV w:val="single" w:color="C9D6D9" w:sz="4"/>
        </w:tblBorders>
      </w:tblPr>
      <w:tblGrid>
        <w:gridCol w:w="2059"/>
        <w:gridCol w:w="7301"/>
      </w:tblGrid>
      <w:tr>
        <w:trPr>
          <w:tblHeader/>
        </w:trPr>
        <w:tc>
          <w:tcPr>
            <w:tcW w:type="dxa" w:w="2059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When</w:t>
            </w:r>
          </w:p>
        </w:tc>
        <w:tc>
          <w:tcPr>
            <w:tcW w:type="dxa" w:w="7301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What</w:t>
            </w:r>
          </w:p>
        </w:tc>
      </w:tr>
      <w:tr>
        <w:tc>
          <w:tcPr>
            <w:tcW w:type="dxa" w:w="2059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120 days before expiry</w:t>
            </w:r>
          </w:p>
        </w:tc>
        <w:tc>
          <w:tcPr>
            <w:tcW w:type="dxa" w:w="730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File owner opens the refresh: pulls current rosters, payrolls, vehicle and property schedules, loss runs requested from the current carrier.</w:t>
            </w:r>
          </w:p>
        </w:tc>
      </w:tr>
      <w:tr>
        <w:tc>
          <w:tcPr>
            <w:tcW w:type="dxa" w:w="2059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90 days</w:t>
            </w:r>
          </w:p>
        </w:tc>
        <w:tc>
          <w:tcPr>
            <w:tcW w:type="dxa" w:w="730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File complete; mitigation narrative updated; broker strategy conversation — markets, structure, what changed this year.</w:t>
            </w:r>
          </w:p>
        </w:tc>
      </w:tr>
      <w:tr>
        <w:tc>
          <w:tcPr>
            <w:tcW w:type="dxa" w:w="2059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60 days</w:t>
            </w:r>
          </w:p>
        </w:tc>
        <w:tc>
          <w:tcPr>
            <w:tcW w:type="dxa" w:w="730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Broker submits. From here your job is fast, complete answers to underwriter questions — logged in the file.</w:t>
            </w:r>
          </w:p>
        </w:tc>
      </w:tr>
      <w:tr>
        <w:tc>
          <w:tcPr>
            <w:tcW w:type="dxa" w:w="2059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30 days</w:t>
            </w:r>
          </w:p>
        </w:tc>
        <w:tc>
          <w:tcPr>
            <w:tcW w:type="dxa" w:w="730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Quotes compared on coverage, not premium alone (limits, retentions, exclusions, defense costs in or out). Bind decision made by the person your board authorized.</w:t>
            </w:r>
          </w:p>
        </w:tc>
      </w:tr>
      <w:tr>
        <w:tc>
          <w:tcPr>
            <w:tcW w:type="dxa" w:w="2059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At bind</w:t>
            </w:r>
          </w:p>
        </w:tc>
        <w:tc>
          <w:tcPr>
            <w:tcW w:type="dxa" w:w="730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Binder and policies checked against the coverage-requirement map from your contracts; certificates issued to every party your contracts require.</w:t>
            </w:r>
          </w:p>
        </w:tc>
      </w:tr>
    </w:tbl>
    <w:p>
      <w:pPr>
        <w:spacing w:after="160" w:before="0" w:line="276"/>
      </w:pP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file — section by section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1. The organization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Current org chart, program descriptions, service volumes for three years, staffing counts by role, governing documents, license(s), accreditation status.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Financial statements or audit for two years — underwriters read financial stability as risk stability.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2. Exposure schedules — current as of the file date, and dated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Payroll by class; headcount by role; volunteer counts and what volunteers do.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Locations with square footage, use, and values; vehicle schedule with drivers policy; any owned property.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Client/service volumes in the units your programs use — placements, bed-days, visits.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3. The policies a liability underwriter will ask for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Screening and clearance procedures (the onboarding gate answers this in one page).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Supervision policy and cadence; incident identification and reporting procedure; behavior-management / restraint policy where applicable.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Driver eligibility and vehicle use; social media and communication-with-clients policy; abuse prevention and mandated reporting.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Training matrix with completion evidence — per person, not per policy.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4. Loss history — with the narrative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Five years of loss runs, from every carrier, requested early (carriers owe them; they are slow).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The mitigation narrative — the highest-leverage document in the file, and the one almost nobody writes.</w:t>
      </w:r>
      <w:r>
        <w:rPr>
          <w:rFonts w:ascii="Calibri" w:cs="Calibri" w:eastAsia="Calibri" w:hAnsi="Calibri"/>
          <w:sz w:val="21"/>
          <w:szCs w:val="21"/>
        </w:rPr>
        <w:t xml:space="preserve"> For each significant claim or pattern: what happened, in plain language; what changed in the system as a result — the policy amended, the gate added, the training instituted, the supervision changed; and what evidence shows the change is operating. Two or three paragraphs per event. Without it you are priced on your worst year; with it you are priced on what you fixed.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5. The requirement map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From your contracts: every insurance requirement — line, limit, endorsements, additional insured wording, notice provisions — with the current status of each. This is what keeps a quote that saves premium from quietly breaching three county contracts.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boundary</w:t>
      </w:r>
    </w:p>
    <w:p>
      <w:pPr>
        <w:spacing w:after="60" w:before="0" w:line="276"/>
      </w:pPr>
    </w:p>
    <w:tbl>
      <w:tblPr>
        <w:tblW w:type="dxa" w:w="9360"/>
        <w:tblBorders>
          <w:top w:val="single" w:color="E0C9B4" w:sz="4"/>
          <w:left w:val="single" w:color="A65C22" w:sz="24"/>
          <w:bottom w:val="single" w:color="E0C9B4" w:sz="4"/>
          <w:right w:val="single" w:color="E0C9B4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FBF3EC" w:val="clear"/>
            <w:tcMar>
              <w:top w:type="dxa" w:w="140"/>
              <w:left w:type="dxa" w:w="200"/>
              <w:bottom w:type="dxa" w:w="140"/>
              <w:right w:type="dxa" w:w="180"/>
            </w:tcMar>
          </w:tcPr>
          <w:p>
            <w:pPr>
              <w:spacing w:after="90" w:line="276"/>
            </w:pPr>
            <w:r>
              <w:rPr>
                <w:rFonts w:ascii="Calibri" w:cs="Calibri" w:eastAsia="Calibri" w:hAnsi="Calibri"/>
                <w:b/>
                <w:bCs/>
                <w:color w:val="A65C22"/>
                <w:sz w:val="17"/>
                <w:szCs w:val="17"/>
              </w:rPr>
              <w:t xml:space="preserve">WHAT THIS CHECKLIST IS AND IS NOT</w:t>
            </w:r>
          </w:p>
          <w:p>
            <w:pPr>
              <w:spacing w:after="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This checklist prepares your organization to be underwritten. Soliciting quotes, negotiating terms, and binding coverage are performed by the licensed broker you engage. Prepare the file; let the licensed professional take it to market.</w:t>
            </w:r>
          </w:p>
        </w:tc>
      </w:tr>
    </w:tbl>
    <w:p>
      <w:pPr>
        <w:spacing w:after="100" w:before="0" w:line="276"/>
      </w:pPr>
    </w:p>
    <w:p>
      <w:pPr>
        <w:pBdr>
          <w:top w:val="single" w:color="C9D6D9" w:sz="4" w:space="8"/>
        </w:pBdr>
        <w:spacing w:after="0" w:before="400"/>
      </w:pPr>
      <w:r>
        <w:rPr>
          <w:rFonts w:ascii="Calibri" w:cs="Calibri" w:eastAsia="Calibri" w:hAnsi="Calibri"/>
          <w:i/>
          <w:iCs/>
          <w:color w:val="55606B"/>
          <w:sz w:val="16"/>
          <w:szCs w:val="16"/>
        </w:rPr>
        <w:t xml:space="preserve">Published by The CARES Collaborative, a program of Knotts Family Services, Inc., for adaptation and use by charitable and community-serving organizations. No registration, no fee, no attribution required. This document is a working template, not legal, tax, or accounting advice — the requirements that apply to your organization are confirmed by your own counsel, auditor, and licensing authority. Version 1.0 · August 2026 · carescollaborative.org/open-shelf</w:t>
      </w:r>
    </w:p>
    <w:sectPr>
      <w:headerReference w:type="default" r:id="rId7"/>
      <w:footerReference w:type="default" r:id="rId8"/>
      <w:pgSz w:w="12240" w:h="15840" w:orient="portrait"/>
      <w:pgMar w:top="1000" w:right="1440" w:bottom="10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5606B"/>
        <w:sz w:val="14"/>
        <w:szCs w:val="14"/>
      </w:rPr>
      <w:t xml:space="preserve">The Underwriting File Checklist  ·  The Open Shelf  ·  page </w:t>
    </w:r>
    <w:r>
      <w:rPr>
        <w:rFonts w:ascii="Calibri" w:cs="Calibri" w:eastAsia="Calibri" w:hAnsi="Calibri"/>
        <w:color w:val="5560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Calibri" w:cs="Calibri" w:eastAsia="Calibri" w:hAnsi="Calibri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176B7A"/>
      </w:rPr>
    </w:lvl>
    <w:lvl w:ilvl="1" w15:tentative="1">
      <w:start w:val="1"/>
      <w:numFmt w:val="bullet"/>
      <w:lvlText w:val="◦"/>
      <w:lvlJc w:val="left"/>
      <w:pPr>
        <w:ind w:left="720" w:hanging="200"/>
      </w:pPr>
      <w:rPr>
        <w:color w:val="176B7A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40"/>
      </w:pPr>
      <w:rPr>
        <w:b/>
        <w:bCs/>
        <w:color w:val="176B7A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3"/>
        <w:sz w:val="21"/>
        <w:szCs w:val="21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Underwriting File Checklist — The Open Shelf</dc:title>
  <dc:creator>Knotts Family Services, Inc.</dc:creator>
  <cp:lastModifiedBy>Un-named</cp:lastModifiedBy>
  <cp:revision>1</cp:revision>
  <dcterms:created xsi:type="dcterms:W3CDTF">2026-09-01T20:41:23.055Z</dcterms:created>
  <dcterms:modified xsi:type="dcterms:W3CDTF">2026-09-01T20:41:23.055Z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